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8BB5D" w14:textId="26F96C08" w:rsidR="008E6902" w:rsidRPr="00DA7AA1" w:rsidRDefault="008E6902" w:rsidP="008E6902">
      <w:pPr>
        <w:pStyle w:val="Header"/>
        <w:tabs>
          <w:tab w:val="clear" w:pos="4536"/>
        </w:tabs>
        <w:rPr>
          <w:szCs w:val="20"/>
          <w:lang w:val="de-DE"/>
        </w:rPr>
      </w:pPr>
      <w:bookmarkStart w:id="0" w:name="OLE_LINK1"/>
      <w:r w:rsidRPr="00A60380">
        <w:rPr>
          <w:lang w:val="de-DE"/>
        </w:rPr>
        <w:t>3GPP TSG-RAN WG1#</w:t>
      </w:r>
      <w:r>
        <w:rPr>
          <w:lang w:val="de-DE"/>
        </w:rPr>
        <w:t>86</w:t>
      </w:r>
      <w:r w:rsidR="001970B1">
        <w:rPr>
          <w:lang w:val="de-DE"/>
        </w:rPr>
        <w:t>bis</w:t>
      </w:r>
      <w:r w:rsidRPr="00A60380">
        <w:rPr>
          <w:lang w:val="de-DE"/>
        </w:rPr>
        <w:tab/>
      </w:r>
      <w:r w:rsidRPr="00DF48C9">
        <w:rPr>
          <w:lang w:val="de-DE"/>
        </w:rPr>
        <w:t>R1-</w:t>
      </w:r>
      <w:r w:rsidR="00DA7AA1" w:rsidRPr="00DA7AA1">
        <w:rPr>
          <w:rFonts w:cs="Arial"/>
          <w:color w:val="000000"/>
          <w:sz w:val="16"/>
          <w:szCs w:val="16"/>
        </w:rPr>
        <w:t xml:space="preserve"> </w:t>
      </w:r>
      <w:r w:rsidR="001970B1" w:rsidRPr="00DA7AA1">
        <w:rPr>
          <w:rFonts w:cs="Arial"/>
          <w:color w:val="000000"/>
          <w:szCs w:val="20"/>
        </w:rPr>
        <w:t>16</w:t>
      </w:r>
      <w:r w:rsidR="000B6D06">
        <w:rPr>
          <w:rFonts w:cs="Arial"/>
          <w:color w:val="000000"/>
          <w:szCs w:val="20"/>
        </w:rPr>
        <w:t>09848</w:t>
      </w:r>
    </w:p>
    <w:bookmarkEnd w:id="0"/>
    <w:p w14:paraId="4228D745" w14:textId="010EB098" w:rsidR="008E6902" w:rsidRPr="002865B2" w:rsidRDefault="001970B1" w:rsidP="008E6902">
      <w:pPr>
        <w:pStyle w:val="3GPPHeader"/>
        <w:spacing w:after="0"/>
        <w:rPr>
          <w:rFonts w:ascii="Arial" w:hAnsi="Arial" w:cs="Arial"/>
          <w:sz w:val="20"/>
          <w:lang w:val="en-US"/>
        </w:rPr>
      </w:pPr>
      <w:r>
        <w:rPr>
          <w:rFonts w:ascii="Arial" w:hAnsi="Arial" w:cs="Arial"/>
          <w:sz w:val="20"/>
          <w:lang w:val="en-US"/>
        </w:rPr>
        <w:t>Lisbon</w:t>
      </w:r>
      <w:r w:rsidR="008E6902">
        <w:rPr>
          <w:rFonts w:ascii="Arial" w:hAnsi="Arial" w:cs="Arial"/>
          <w:sz w:val="20"/>
          <w:lang w:val="en-US"/>
        </w:rPr>
        <w:t xml:space="preserve">, </w:t>
      </w:r>
      <w:r>
        <w:rPr>
          <w:rFonts w:ascii="Arial" w:hAnsi="Arial" w:cs="Arial"/>
          <w:sz w:val="20"/>
          <w:lang w:val="en-US"/>
        </w:rPr>
        <w:t>Portugal</w:t>
      </w:r>
      <w:r w:rsidR="008E6902">
        <w:rPr>
          <w:rFonts w:ascii="Arial" w:hAnsi="Arial" w:cs="Arial"/>
          <w:sz w:val="20"/>
          <w:lang w:val="en-US"/>
        </w:rPr>
        <w:t xml:space="preserve">, </w:t>
      </w:r>
      <w:r>
        <w:rPr>
          <w:rFonts w:ascii="Arial" w:hAnsi="Arial" w:cs="Arial"/>
          <w:sz w:val="20"/>
          <w:lang w:val="en-US"/>
        </w:rPr>
        <w:t>10-14</w:t>
      </w:r>
      <w:r w:rsidR="008E6902" w:rsidRPr="002865B2">
        <w:rPr>
          <w:rFonts w:ascii="Arial" w:hAnsi="Arial" w:cs="Arial"/>
          <w:sz w:val="20"/>
          <w:lang w:val="en-US"/>
        </w:rPr>
        <w:t xml:space="preserve"> </w:t>
      </w:r>
      <w:r>
        <w:rPr>
          <w:rFonts w:ascii="Arial" w:hAnsi="Arial" w:cs="Arial"/>
          <w:sz w:val="20"/>
          <w:lang w:val="en-US"/>
        </w:rPr>
        <w:t>October</w:t>
      </w:r>
      <w:r w:rsidR="008E6902" w:rsidRPr="002865B2">
        <w:rPr>
          <w:rFonts w:ascii="Arial" w:hAnsi="Arial" w:cs="Arial"/>
          <w:sz w:val="20"/>
          <w:lang w:val="en-US"/>
        </w:rPr>
        <w:t>, 2016</w:t>
      </w:r>
    </w:p>
    <w:p w14:paraId="33D74EE7" w14:textId="77777777" w:rsidR="008E6902" w:rsidRPr="00067A4F" w:rsidRDefault="008E6902" w:rsidP="008E6902">
      <w:pPr>
        <w:pStyle w:val="Header"/>
      </w:pPr>
    </w:p>
    <w:p w14:paraId="65FACFC7" w14:textId="77777777" w:rsidR="008E6902" w:rsidRPr="009D2B97" w:rsidRDefault="008E6902" w:rsidP="008E6902">
      <w:pPr>
        <w:pStyle w:val="Header"/>
        <w:tabs>
          <w:tab w:val="clear" w:pos="4536"/>
          <w:tab w:val="left" w:pos="1800"/>
        </w:tabs>
        <w:ind w:left="1800" w:hanging="1800"/>
      </w:pPr>
      <w:r w:rsidRPr="009D2B97">
        <w:t>Source:</w:t>
      </w:r>
      <w:r w:rsidRPr="009D2B97">
        <w:tab/>
        <w:t>Ericsson</w:t>
      </w:r>
    </w:p>
    <w:p w14:paraId="6201F9A8" w14:textId="074FECA1" w:rsidR="008E6902" w:rsidRPr="00F56EBE" w:rsidRDefault="008E6902" w:rsidP="008E6902">
      <w:pPr>
        <w:pStyle w:val="Header"/>
        <w:tabs>
          <w:tab w:val="clear" w:pos="4536"/>
          <w:tab w:val="left" w:pos="1800"/>
        </w:tabs>
      </w:pPr>
      <w:r w:rsidRPr="009D2B97">
        <w:t>Title:</w:t>
      </w:r>
      <w:bookmarkStart w:id="1" w:name="Title"/>
      <w:bookmarkEnd w:id="1"/>
      <w:r w:rsidRPr="009D2B97">
        <w:tab/>
      </w:r>
      <w:r>
        <w:t>On</w:t>
      </w:r>
      <w:r w:rsidR="00742399">
        <w:t xml:space="preserve"> cyclic shifts </w:t>
      </w:r>
      <w:r w:rsidR="009F35D2">
        <w:t>for UL</w:t>
      </w:r>
      <w:r w:rsidR="001970B1">
        <w:t xml:space="preserve"> DMRS</w:t>
      </w:r>
      <w:r w:rsidR="001D5F6E">
        <w:t xml:space="preserve"> with IFDMA</w:t>
      </w:r>
    </w:p>
    <w:p w14:paraId="00D37F3F" w14:textId="20359EA7" w:rsidR="008E6902" w:rsidRPr="00067A4F" w:rsidRDefault="008E6902" w:rsidP="008E6902">
      <w:pPr>
        <w:pStyle w:val="Header"/>
        <w:tabs>
          <w:tab w:val="clear" w:pos="4536"/>
          <w:tab w:val="left" w:pos="1800"/>
        </w:tabs>
      </w:pPr>
      <w:r w:rsidRPr="00067A4F">
        <w:t>Agenda Item:</w:t>
      </w:r>
      <w:bookmarkStart w:id="2" w:name="Source"/>
      <w:bookmarkEnd w:id="2"/>
      <w:r w:rsidRPr="00067A4F">
        <w:tab/>
      </w:r>
      <w:r w:rsidR="00A249E0">
        <w:rPr>
          <w:lang w:eastAsia="ja-JP"/>
        </w:rPr>
        <w:t>7.2.2.3</w:t>
      </w:r>
    </w:p>
    <w:p w14:paraId="4CC545DD" w14:textId="77777777" w:rsidR="008E6902" w:rsidRPr="009D2B97" w:rsidRDefault="008E6902" w:rsidP="008E6902">
      <w:pPr>
        <w:pStyle w:val="Header"/>
        <w:tabs>
          <w:tab w:val="left" w:pos="1800"/>
        </w:tabs>
      </w:pPr>
      <w:r w:rsidRPr="009D2B97">
        <w:t>Document for:</w:t>
      </w:r>
      <w:r w:rsidRPr="009D2B97">
        <w:tab/>
      </w:r>
      <w:bookmarkStart w:id="3" w:name="DocumentFor"/>
      <w:bookmarkEnd w:id="3"/>
      <w:r w:rsidRPr="009D2B97">
        <w:t>Discussion and Decision</w:t>
      </w:r>
    </w:p>
    <w:p w14:paraId="47160F0B" w14:textId="77777777" w:rsidR="00795DB8" w:rsidRPr="009D2B97" w:rsidRDefault="00795DB8" w:rsidP="00EA7BAE">
      <w:pPr>
        <w:pBdr>
          <w:bottom w:val="single" w:sz="4" w:space="1" w:color="auto"/>
        </w:pBdr>
        <w:tabs>
          <w:tab w:val="left" w:pos="2552"/>
        </w:tabs>
      </w:pPr>
    </w:p>
    <w:p w14:paraId="344C038C" w14:textId="77777777" w:rsidR="004E3F86" w:rsidRDefault="00AF1102" w:rsidP="00A60380">
      <w:pPr>
        <w:pStyle w:val="Heading1"/>
      </w:pPr>
      <w:r w:rsidRPr="003178F4">
        <w:t>Introduction</w:t>
      </w:r>
    </w:p>
    <w:p w14:paraId="6330D093" w14:textId="476037A9" w:rsidR="008E6902" w:rsidRPr="00BE4FC8" w:rsidRDefault="001970B1" w:rsidP="008E6902">
      <w:pPr>
        <w:overflowPunct w:val="0"/>
        <w:autoSpaceDE w:val="0"/>
        <w:autoSpaceDN w:val="0"/>
        <w:adjustRightInd w:val="0"/>
        <w:spacing w:after="180"/>
        <w:ind w:right="-99"/>
        <w:textAlignment w:val="baseline"/>
        <w:rPr>
          <w:i/>
          <w:color w:val="000000"/>
          <w:lang w:eastAsia="ko-KR"/>
        </w:rPr>
      </w:pPr>
      <w:r>
        <w:t>In RAN1#86</w:t>
      </w:r>
      <w:r w:rsidR="00525CA4">
        <w:t>, the following agreements</w:t>
      </w:r>
      <w:r w:rsidR="008E6902">
        <w:t xml:space="preserve"> were </w:t>
      </w:r>
      <w:r w:rsidR="00525CA4">
        <w:t>reached</w:t>
      </w:r>
      <w:r>
        <w:t xml:space="preserve"> </w:t>
      </w:r>
      <w:r w:rsidR="008E6902">
        <w:t xml:space="preserve">on </w:t>
      </w:r>
      <w:r>
        <w:t>UL DMRS</w:t>
      </w:r>
      <w:r w:rsidR="0030524C">
        <w:t xml:space="preserve"> </w:t>
      </w:r>
      <w:r w:rsidR="007564E3">
        <w:fldChar w:fldCharType="begin"/>
      </w:r>
      <w:r w:rsidR="007564E3">
        <w:instrText xml:space="preserve"> REF _Ref458425895 \r \h </w:instrText>
      </w:r>
      <w:r w:rsidR="007564E3">
        <w:fldChar w:fldCharType="separate"/>
      </w:r>
      <w:r w:rsidR="007564E3">
        <w:t>[1]</w:t>
      </w:r>
      <w:r w:rsidR="007564E3">
        <w:fldChar w:fldCharType="end"/>
      </w:r>
      <w:r w:rsidR="008E6902">
        <w:t>:</w:t>
      </w:r>
    </w:p>
    <w:p w14:paraId="7E570736" w14:textId="77777777" w:rsidR="001970B1" w:rsidRPr="00464A75" w:rsidRDefault="001970B1" w:rsidP="001970B1">
      <w:pPr>
        <w:rPr>
          <w:b/>
          <w:bCs/>
          <w:highlight w:val="green"/>
          <w:u w:val="single"/>
        </w:rPr>
      </w:pPr>
      <w:r w:rsidRPr="00464A75">
        <w:rPr>
          <w:b/>
          <w:bCs/>
          <w:highlight w:val="green"/>
          <w:u w:val="single"/>
        </w:rPr>
        <w:t>Agreement:</w:t>
      </w:r>
    </w:p>
    <w:p w14:paraId="6BBC94BB" w14:textId="35BCADE5" w:rsidR="001970B1" w:rsidRPr="003B76E8" w:rsidRDefault="001970B1" w:rsidP="001970B1">
      <w:pPr>
        <w:numPr>
          <w:ilvl w:val="0"/>
          <w:numId w:val="47"/>
        </w:numPr>
        <w:rPr>
          <w:bCs/>
          <w:i/>
        </w:rPr>
      </w:pPr>
      <w:r w:rsidRPr="003B76E8">
        <w:rPr>
          <w:bCs/>
          <w:i/>
        </w:rPr>
        <w:t>Support orthogonal DMRS (more than 2) for MU-MIMO with partial overlapping BW allocation by</w:t>
      </w:r>
    </w:p>
    <w:p w14:paraId="3CA2BC5A" w14:textId="51A03D23" w:rsidR="001970B1" w:rsidRPr="003B76E8" w:rsidRDefault="001970B1" w:rsidP="001970B1">
      <w:pPr>
        <w:numPr>
          <w:ilvl w:val="1"/>
          <w:numId w:val="47"/>
        </w:numPr>
        <w:rPr>
          <w:bCs/>
          <w:i/>
        </w:rPr>
      </w:pPr>
      <w:r w:rsidRPr="003B76E8">
        <w:rPr>
          <w:bCs/>
          <w:i/>
        </w:rPr>
        <w:t xml:space="preserve">IFDMA with at least RPF 2 </w:t>
      </w:r>
    </w:p>
    <w:p w14:paraId="4A208A42" w14:textId="3EC37739" w:rsidR="001970B1" w:rsidRPr="003B76E8" w:rsidRDefault="001970B1" w:rsidP="001970B1">
      <w:pPr>
        <w:numPr>
          <w:ilvl w:val="2"/>
          <w:numId w:val="47"/>
        </w:numPr>
        <w:rPr>
          <w:bCs/>
          <w:i/>
        </w:rPr>
      </w:pPr>
      <w:r w:rsidRPr="003B76E8">
        <w:rPr>
          <w:bCs/>
          <w:i/>
        </w:rPr>
        <w:t xml:space="preserve">FFS: RPF 4 </w:t>
      </w:r>
    </w:p>
    <w:p w14:paraId="5D64DD57" w14:textId="3F3D5154" w:rsidR="001970B1" w:rsidRPr="003B76E8" w:rsidRDefault="001970B1" w:rsidP="001970B1">
      <w:pPr>
        <w:numPr>
          <w:ilvl w:val="0"/>
          <w:numId w:val="47"/>
        </w:numPr>
        <w:rPr>
          <w:bCs/>
          <w:i/>
        </w:rPr>
      </w:pPr>
      <w:r w:rsidRPr="003B76E8">
        <w:rPr>
          <w:bCs/>
          <w:i/>
        </w:rPr>
        <w:t>FFS during this week which new IFDMA sequence lengths (if any) shall be supported and designed</w:t>
      </w:r>
    </w:p>
    <w:p w14:paraId="018C4ADF" w14:textId="1D71E806" w:rsidR="001970B1" w:rsidRPr="003B76E8" w:rsidRDefault="001970B1" w:rsidP="001970B1">
      <w:pPr>
        <w:numPr>
          <w:ilvl w:val="1"/>
          <w:numId w:val="47"/>
        </w:numPr>
        <w:rPr>
          <w:bCs/>
          <w:i/>
        </w:rPr>
      </w:pPr>
      <w:r w:rsidRPr="003B76E8">
        <w:rPr>
          <w:bCs/>
          <w:i/>
        </w:rPr>
        <w:t>If any new lengths larger than 36 are supported, the corresponding DMRS sequences are generated by the legacy mechanism by extension of a Zadoff-Chu sequence</w:t>
      </w:r>
    </w:p>
    <w:p w14:paraId="7E20EE93" w14:textId="77777777" w:rsidR="001970B1" w:rsidRPr="003B76E8" w:rsidRDefault="001970B1" w:rsidP="001970B1">
      <w:pPr>
        <w:numPr>
          <w:ilvl w:val="0"/>
          <w:numId w:val="47"/>
        </w:numPr>
        <w:rPr>
          <w:bCs/>
          <w:i/>
        </w:rPr>
      </w:pPr>
      <w:r w:rsidRPr="003B76E8">
        <w:rPr>
          <w:bCs/>
          <w:i/>
          <w:highlight w:val="yellow"/>
        </w:rPr>
        <w:t>FFS:  whether and how CS of DMRS generation shall be modified to improve backward compatibility for</w:t>
      </w:r>
      <w:r w:rsidRPr="003B76E8">
        <w:rPr>
          <w:bCs/>
          <w:i/>
        </w:rPr>
        <w:t xml:space="preserve"> </w:t>
      </w:r>
      <w:r w:rsidRPr="003B76E8">
        <w:rPr>
          <w:bCs/>
          <w:i/>
          <w:highlight w:val="yellow"/>
        </w:rPr>
        <w:t>the pairing with legacy UE.</w:t>
      </w:r>
      <w:r w:rsidRPr="003B76E8">
        <w:rPr>
          <w:bCs/>
          <w:i/>
        </w:rPr>
        <w:t xml:space="preserve"> </w:t>
      </w:r>
    </w:p>
    <w:p w14:paraId="506D8BFE" w14:textId="63C3A93F" w:rsidR="001970B1" w:rsidRPr="003B76E8" w:rsidRDefault="001970B1" w:rsidP="001970B1">
      <w:pPr>
        <w:numPr>
          <w:ilvl w:val="0"/>
          <w:numId w:val="47"/>
        </w:numPr>
        <w:rPr>
          <w:bCs/>
          <w:i/>
        </w:rPr>
      </w:pPr>
      <w:r w:rsidRPr="003B76E8">
        <w:rPr>
          <w:bCs/>
          <w:i/>
        </w:rPr>
        <w:t>Additional power boosting shall be supported and applied to IFDMA DMRS depending on the value of RPF</w:t>
      </w:r>
    </w:p>
    <w:p w14:paraId="15A067C4" w14:textId="237C6365" w:rsidR="001970B1" w:rsidRPr="003B76E8" w:rsidRDefault="001970B1" w:rsidP="001970B1">
      <w:pPr>
        <w:numPr>
          <w:ilvl w:val="1"/>
          <w:numId w:val="47"/>
        </w:numPr>
        <w:rPr>
          <w:bCs/>
          <w:i/>
        </w:rPr>
      </w:pPr>
      <w:r w:rsidRPr="003B76E8">
        <w:rPr>
          <w:bCs/>
          <w:i/>
        </w:rPr>
        <w:t>FFS:  x dB for RPF 2 and y dB for RPF 4</w:t>
      </w:r>
    </w:p>
    <w:p w14:paraId="56320517" w14:textId="075838A3" w:rsidR="001970B1" w:rsidRDefault="001970B1" w:rsidP="001970B1">
      <w:r w:rsidRPr="00310A4E">
        <w:rPr>
          <w:b/>
          <w:highlight w:val="green"/>
          <w:u w:val="single"/>
        </w:rPr>
        <w:t>Agreement</w:t>
      </w:r>
      <w:r>
        <w:t>:</w:t>
      </w:r>
    </w:p>
    <w:p w14:paraId="57FA2CEE" w14:textId="5A00D227" w:rsidR="001970B1" w:rsidRPr="003B76E8" w:rsidRDefault="001970B1" w:rsidP="001970B1">
      <w:pPr>
        <w:numPr>
          <w:ilvl w:val="0"/>
          <w:numId w:val="48"/>
        </w:numPr>
        <w:rPr>
          <w:i/>
        </w:rPr>
      </w:pPr>
      <w:r w:rsidRPr="003B76E8">
        <w:rPr>
          <w:i/>
        </w:rPr>
        <w:t xml:space="preserve">IFDMA Sequence Design for RFP=2, </w:t>
      </w:r>
    </w:p>
    <w:p w14:paraId="339A7DAE" w14:textId="00E9C89C" w:rsidR="001970B1" w:rsidRPr="003B76E8" w:rsidRDefault="001970B1" w:rsidP="001970B1">
      <w:pPr>
        <w:numPr>
          <w:ilvl w:val="1"/>
          <w:numId w:val="48"/>
        </w:numPr>
        <w:rPr>
          <w:i/>
        </w:rPr>
      </w:pPr>
      <w:r w:rsidRPr="003B76E8">
        <w:rPr>
          <w:i/>
        </w:rPr>
        <w:t xml:space="preserve">New lengths larger than 36 are supported. The corresponding DMRS sequences are generated by the legacy mechanism by extension of a Zadoff-Chu sequence. </w:t>
      </w:r>
    </w:p>
    <w:p w14:paraId="48D4402C" w14:textId="6A74FE3B" w:rsidR="001970B1" w:rsidRPr="003B76E8" w:rsidRDefault="001970B1" w:rsidP="001970B1">
      <w:pPr>
        <w:numPr>
          <w:ilvl w:val="1"/>
          <w:numId w:val="48"/>
        </w:numPr>
        <w:rPr>
          <w:i/>
        </w:rPr>
      </w:pPr>
      <w:r w:rsidRPr="003B76E8">
        <w:rPr>
          <w:i/>
        </w:rPr>
        <w:t>FFS: whether new lengths of 6, 18, 30 are supported</w:t>
      </w:r>
    </w:p>
    <w:p w14:paraId="4565A5E2" w14:textId="1802E610" w:rsidR="001970B1" w:rsidRPr="003B76E8" w:rsidRDefault="001970B1" w:rsidP="008E6902">
      <w:pPr>
        <w:pStyle w:val="BodyText"/>
        <w:rPr>
          <w:i/>
        </w:rPr>
      </w:pPr>
    </w:p>
    <w:p w14:paraId="396D86E2" w14:textId="552B76CF" w:rsidR="008E6902" w:rsidRDefault="008E6902" w:rsidP="008E6902">
      <w:pPr>
        <w:pStyle w:val="BodyText"/>
        <w:rPr>
          <w:i/>
          <w:color w:val="000000"/>
          <w:lang w:eastAsia="ko-KR"/>
        </w:rPr>
      </w:pPr>
      <w:r>
        <w:t xml:space="preserve">In this contribution, </w:t>
      </w:r>
      <w:r w:rsidRPr="00BE4FC8">
        <w:t xml:space="preserve">we </w:t>
      </w:r>
      <w:r w:rsidR="00EA0044" w:rsidRPr="00BE4FC8">
        <w:t xml:space="preserve">discuss </w:t>
      </w:r>
      <w:r w:rsidR="00EA0044">
        <w:t>the</w:t>
      </w:r>
      <w:r w:rsidR="001D5F6E">
        <w:t xml:space="preserve"> cyclic shift aspect of UL DMRS with </w:t>
      </w:r>
      <w:r w:rsidR="002E6DA9">
        <w:t>IFDMA and</w:t>
      </w:r>
      <w:r w:rsidR="001D5F6E">
        <w:t xml:space="preserve"> </w:t>
      </w:r>
      <w:r w:rsidR="00580E3E">
        <w:t xml:space="preserve">our views on </w:t>
      </w:r>
      <w:r w:rsidR="001D5F6E">
        <w:t>the possibility of pairing a legacy UE with a new UE</w:t>
      </w:r>
      <w:r w:rsidR="007564E3">
        <w:t>.</w:t>
      </w:r>
      <w:r w:rsidR="00AD44AF">
        <w:t xml:space="preserve"> </w:t>
      </w:r>
      <w:r w:rsidR="002C3141">
        <w:t xml:space="preserve">The other FFS items are discussed in the companion papers  </w:t>
      </w:r>
      <w:r w:rsidR="002C3141">
        <w:fldChar w:fldCharType="begin"/>
      </w:r>
      <w:r w:rsidR="002C3141">
        <w:instrText xml:space="preserve"> REF _Ref462867671 \r \h </w:instrText>
      </w:r>
      <w:r w:rsidR="002C3141">
        <w:fldChar w:fldCharType="separate"/>
      </w:r>
      <w:r w:rsidR="002C3141">
        <w:t>[4]</w:t>
      </w:r>
      <w:r w:rsidR="002C3141">
        <w:fldChar w:fldCharType="end"/>
      </w:r>
      <w:r w:rsidR="002C3141">
        <w:fldChar w:fldCharType="begin"/>
      </w:r>
      <w:r w:rsidR="002C3141">
        <w:instrText xml:space="preserve"> REF _Ref462951896 \r \h </w:instrText>
      </w:r>
      <w:r w:rsidR="002C3141">
        <w:fldChar w:fldCharType="separate"/>
      </w:r>
      <w:r w:rsidR="002C3141">
        <w:t>[5]</w:t>
      </w:r>
      <w:r w:rsidR="002C3141">
        <w:fldChar w:fldCharType="end"/>
      </w:r>
      <w:r w:rsidR="002C3141">
        <w:t>.</w:t>
      </w:r>
    </w:p>
    <w:p w14:paraId="3DA6BBE7" w14:textId="05F7CE85" w:rsidR="00C168A4" w:rsidRDefault="00742399" w:rsidP="00C168A4">
      <w:pPr>
        <w:pStyle w:val="Heading1"/>
      </w:pPr>
      <w:r>
        <w:t>Cyclic shift</w:t>
      </w:r>
      <w:r w:rsidR="00225355">
        <w:t xml:space="preserve"> </w:t>
      </w:r>
      <w:r w:rsidR="00C168A4">
        <w:t>aspects</w:t>
      </w:r>
    </w:p>
    <w:p w14:paraId="0EBA72C6" w14:textId="12A92F25" w:rsidR="00A249E0" w:rsidRPr="00A249E0" w:rsidRDefault="00A249E0" w:rsidP="00A249E0">
      <w:pPr>
        <w:pStyle w:val="Heading2"/>
      </w:pPr>
      <w:r>
        <w:t>Cyclic shifts in existing DMRS sequences for PUSCH</w:t>
      </w:r>
    </w:p>
    <w:p w14:paraId="3C7E33A4" w14:textId="1E5F752A" w:rsidR="003C2DFF" w:rsidRDefault="003C2DFF" w:rsidP="003C2DFF">
      <w:r>
        <w:t xml:space="preserve">In current LTE, the PUSCH demodulation reference signal sequence </w:t>
      </w:r>
      <w:r w:rsidRPr="00D9192D">
        <w:rPr>
          <w:position w:val="-10"/>
        </w:rPr>
        <w:object w:dxaOrig="780" w:dyaOrig="340" w14:anchorId="0BC86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7.55pt" o:ole="">
            <v:imagedata r:id="rId8" o:title=""/>
          </v:shape>
          <o:OLEObject Type="Embed" ProgID="Equation.3" ShapeID="_x0000_i1025" DrawAspect="Content" ObjectID="_1536790509" r:id="rId9"/>
        </w:object>
      </w:r>
      <w:r>
        <w:t xml:space="preserve"> associated with layer </w:t>
      </w:r>
      <w:r w:rsidRPr="00D9192D">
        <w:rPr>
          <w:position w:val="-10"/>
        </w:rPr>
        <w:object w:dxaOrig="1340" w:dyaOrig="300" w14:anchorId="2322BC04">
          <v:shape id="_x0000_i1026" type="#_x0000_t75" style="width:67pt;height:15.05pt" o:ole="">
            <v:imagedata r:id="rId10" o:title=""/>
          </v:shape>
          <o:OLEObject Type="Embed" ProgID="Equation.3" ShapeID="_x0000_i1026" DrawAspect="Content" ObjectID="_1536790510" r:id="rId11"/>
        </w:object>
      </w:r>
      <w:r>
        <w:t xml:space="preserve"> is defined by</w:t>
      </w:r>
    </w:p>
    <w:p w14:paraId="508FF3F8" w14:textId="77777777" w:rsidR="003C2DFF" w:rsidRDefault="003C2DFF" w:rsidP="003C2DFF">
      <w:pPr>
        <w:pStyle w:val="EQ"/>
        <w:jc w:val="center"/>
      </w:pPr>
      <w:r w:rsidRPr="00D9192D">
        <w:rPr>
          <w:position w:val="-12"/>
        </w:rPr>
        <w:object w:dxaOrig="3140" w:dyaOrig="380" w14:anchorId="0693A8F8">
          <v:shape id="_x0000_i1027" type="#_x0000_t75" style="width:156.5pt;height:19.4pt" o:ole="">
            <v:imagedata r:id="rId12" o:title=""/>
          </v:shape>
          <o:OLEObject Type="Embed" ProgID="Equation.3" ShapeID="_x0000_i1027" DrawAspect="Content" ObjectID="_1536790511" r:id="rId13"/>
        </w:object>
      </w:r>
    </w:p>
    <w:p w14:paraId="55D53BE8" w14:textId="455A43C3" w:rsidR="00A249E0" w:rsidRDefault="003C2DFF" w:rsidP="00A249E0">
      <w:r>
        <w:t xml:space="preserve">where </w:t>
      </w:r>
      <w:r w:rsidR="00A249E0" w:rsidRPr="00EF42E3">
        <w:rPr>
          <w:position w:val="-10"/>
        </w:rPr>
        <w:object w:dxaOrig="740" w:dyaOrig="320" w14:anchorId="4B710ACF">
          <v:shape id="_x0000_i1028" type="#_x0000_t75" style="width:36.95pt;height:15.65pt" o:ole="">
            <v:imagedata r:id="rId14" o:title=""/>
          </v:shape>
          <o:OLEObject Type="Embed" ProgID="Equation.3" ShapeID="_x0000_i1028" DrawAspect="Content" ObjectID="_1536790512" r:id="rId15"/>
        </w:object>
      </w:r>
      <w:r w:rsidR="00A249E0">
        <w:t xml:space="preserve">; </w:t>
      </w:r>
      <w:r w:rsidR="00A249E0" w:rsidRPr="00EF42E3">
        <w:rPr>
          <w:position w:val="-12"/>
        </w:rPr>
        <w:object w:dxaOrig="1620" w:dyaOrig="380" w14:anchorId="2E9DD725">
          <v:shape id="_x0000_i1029" type="#_x0000_t75" style="width:80.75pt;height:18.8pt" o:ole="">
            <v:imagedata r:id="rId16" o:title=""/>
          </v:shape>
          <o:OLEObject Type="Embed" ProgID="Equation.3" ShapeID="_x0000_i1029" DrawAspect="Content" ObjectID="_1536790513" r:id="rId17"/>
        </w:object>
      </w:r>
      <w:r w:rsidR="00A249E0">
        <w:t xml:space="preserve">and </w:t>
      </w:r>
      <w:r w:rsidR="00A249E0" w:rsidRPr="008D3B67">
        <w:rPr>
          <w:position w:val="-10"/>
        </w:rPr>
        <w:object w:dxaOrig="1359" w:dyaOrig="340" w14:anchorId="3F0D6687">
          <v:shape id="_x0000_i1030" type="#_x0000_t75" style="width:68.25pt;height:16.3pt" o:ole="">
            <v:imagedata r:id="rId18" o:title=""/>
          </v:shape>
          <o:OLEObject Type="Embed" ProgID="Equation.3" ShapeID="_x0000_i1030" DrawAspect="Content" ObjectID="_1536790514" r:id="rId19"/>
        </w:object>
      </w:r>
      <w:r w:rsidR="00A249E0">
        <w:t>;</w:t>
      </w:r>
      <w:r w:rsidR="00A249E0" w:rsidRPr="0057158C">
        <w:rPr>
          <w:position w:val="-6"/>
        </w:rPr>
        <w:object w:dxaOrig="440" w:dyaOrig="320" w14:anchorId="444AD0A2">
          <v:shape id="_x0000_i1031" type="#_x0000_t75" style="width:21.9pt;height:15.65pt" o:ole="">
            <v:imagedata r:id="rId20" o:title=""/>
          </v:shape>
          <o:OLEObject Type="Embed" ProgID="Equation.3" ShapeID="_x0000_i1031" DrawAspect="Content" ObjectID="_1536790515" r:id="rId21"/>
        </w:object>
      </w:r>
      <w:r w:rsidR="00A249E0">
        <w:t xml:space="preserve"> represents the OCC2 </w:t>
      </w:r>
      <w:r w:rsidR="000B6D06">
        <w:t>across</w:t>
      </w:r>
      <w:r w:rsidR="00A249E0">
        <w:t xml:space="preserve"> two slots; </w:t>
      </w:r>
      <w:r w:rsidR="00A249E0" w:rsidRPr="00EF42E3">
        <w:rPr>
          <w:position w:val="-14"/>
        </w:rPr>
        <w:object w:dxaOrig="2020" w:dyaOrig="400" w14:anchorId="5F8D3BCE">
          <v:shape id="_x0000_i1032" type="#_x0000_t75" style="width:101.45pt;height:20.05pt" o:ole="">
            <v:imagedata r:id="rId22" o:title=""/>
          </v:shape>
          <o:OLEObject Type="Embed" ProgID="Equation.3" ShapeID="_x0000_i1032" DrawAspect="Content" ObjectID="_1536790516" r:id="rId23"/>
        </w:object>
      </w:r>
      <w:r w:rsidR="00A249E0">
        <w:t xml:space="preserve">and </w:t>
      </w:r>
      <w:r w:rsidR="00A249E0" w:rsidRPr="00DD680B">
        <w:rPr>
          <w:position w:val="-12"/>
        </w:rPr>
        <w:object w:dxaOrig="600" w:dyaOrig="320" w14:anchorId="364CEBAB">
          <v:shape id="_x0000_i1033" type="#_x0000_t75" style="width:30.05pt;height:15.65pt" o:ole="">
            <v:imagedata r:id="rId24" o:title=""/>
          </v:shape>
          <o:OLEObject Type="Embed" ProgID="Equation.3" ShapeID="_x0000_i1033" DrawAspect="Content" ObjectID="_1536790517" r:id="rId25"/>
        </w:object>
      </w:r>
      <w:r w:rsidR="00A249E0">
        <w:t xml:space="preserve"> is the base sequence.   The cyclic shift </w:t>
      </w:r>
      <w:r w:rsidR="00A249E0" w:rsidRPr="00111DB1">
        <w:rPr>
          <w:position w:val="-10"/>
        </w:rPr>
        <w:object w:dxaOrig="300" w:dyaOrig="300" w14:anchorId="3FF9D451">
          <v:shape id="_x0000_i1034" type="#_x0000_t75" style="width:15.05pt;height:15.05pt" o:ole="">
            <v:imagedata r:id="rId26" o:title=""/>
          </v:shape>
          <o:OLEObject Type="Embed" ProgID="Equation.3" ShapeID="_x0000_i1034" DrawAspect="Content" ObjectID="_1536790518" r:id="rId27"/>
        </w:object>
      </w:r>
      <w:r w:rsidR="00A249E0">
        <w:t xml:space="preserve"> in a slot </w:t>
      </w:r>
      <w:r w:rsidR="00A249E0" w:rsidRPr="0082472D">
        <w:rPr>
          <w:position w:val="-10"/>
        </w:rPr>
        <w:object w:dxaOrig="240" w:dyaOrig="300" w14:anchorId="6E52EF0E">
          <v:shape id="_x0000_i1035" type="#_x0000_t75" style="width:11.9pt;height:15.05pt" o:ole="">
            <v:imagedata r:id="rId28" o:title=""/>
          </v:shape>
          <o:OLEObject Type="Embed" ProgID="Equation.3" ShapeID="_x0000_i1035" DrawAspect="Content" ObjectID="_1536790519" r:id="rId29"/>
        </w:object>
      </w:r>
      <w:r w:rsidR="00A249E0">
        <w:t xml:space="preserve"> is given by </w:t>
      </w:r>
      <w:r w:rsidR="00A249E0" w:rsidRPr="00111DB1">
        <w:rPr>
          <w:position w:val="-12"/>
        </w:rPr>
        <w:object w:dxaOrig="1359" w:dyaOrig="320" w14:anchorId="7EA9DECC">
          <v:shape id="_x0000_i1036" type="#_x0000_t75" style="width:68.25pt;height:15.65pt" o:ole="">
            <v:imagedata r:id="rId30" o:title=""/>
          </v:shape>
          <o:OLEObject Type="Embed" ProgID="Equation.3" ShapeID="_x0000_i1036" DrawAspect="Content" ObjectID="_1536790520" r:id="rId31"/>
        </w:object>
      </w:r>
      <w:r w:rsidR="00A249E0">
        <w:t xml:space="preserve"> with</w:t>
      </w:r>
    </w:p>
    <w:p w14:paraId="56F009B7" w14:textId="0620B7A8" w:rsidR="003C2DFF" w:rsidRDefault="00A249E0" w:rsidP="003C2DFF">
      <w:pPr>
        <w:pStyle w:val="EQ"/>
        <w:jc w:val="center"/>
      </w:pPr>
      <w:r w:rsidRPr="00111DB1">
        <w:rPr>
          <w:position w:val="-14"/>
        </w:rPr>
        <w:object w:dxaOrig="3879" w:dyaOrig="400" w14:anchorId="0B73D2A1">
          <v:shape id="_x0000_i1037" type="#_x0000_t75" style="width:194.1pt;height:20.05pt" o:ole="">
            <v:imagedata r:id="rId32" o:title=""/>
          </v:shape>
          <o:OLEObject Type="Embed" ProgID="Equation.3" ShapeID="_x0000_i1037" DrawAspect="Content" ObjectID="_1536790521" r:id="rId33"/>
        </w:object>
      </w:r>
    </w:p>
    <w:p w14:paraId="51B1A146" w14:textId="66443323" w:rsidR="003C2DFF" w:rsidRDefault="003C2DFF" w:rsidP="003C2DFF">
      <w:pPr>
        <w:rPr>
          <w:lang w:eastAsia="ko-KR"/>
        </w:rPr>
      </w:pPr>
      <w:r>
        <w:t xml:space="preserve">where the values of </w:t>
      </w:r>
      <w:r w:rsidRPr="00A91EB4">
        <w:rPr>
          <w:position w:val="-10"/>
        </w:rPr>
        <w:object w:dxaOrig="580" w:dyaOrig="340" w14:anchorId="75643018">
          <v:shape id="_x0000_i1038" type="#_x0000_t75" style="width:29.45pt;height:16.3pt" o:ole="">
            <v:imagedata r:id="rId34" o:title=""/>
          </v:shape>
          <o:OLEObject Type="Embed" ProgID="Equation.3" ShapeID="_x0000_i1038" DrawAspect="Content" ObjectID="_1536790522" r:id="rId35"/>
        </w:object>
      </w:r>
      <w:r>
        <w:rPr>
          <w:iCs/>
        </w:rPr>
        <w:t xml:space="preserve"> is </w:t>
      </w:r>
      <w:r w:rsidR="00BE5527">
        <w:rPr>
          <w:iCs/>
        </w:rPr>
        <w:t>configured</w:t>
      </w:r>
      <w:r>
        <w:rPr>
          <w:iCs/>
        </w:rPr>
        <w:t xml:space="preserve"> </w:t>
      </w:r>
      <w:r w:rsidR="00BE5527">
        <w:rPr>
          <w:iCs/>
        </w:rPr>
        <w:t>by higher layers</w:t>
      </w:r>
      <w:r>
        <w:t>,</w:t>
      </w:r>
      <w:r w:rsidRPr="009C2499">
        <w:t xml:space="preserve"> </w:t>
      </w:r>
      <w:r w:rsidR="00167411" w:rsidRPr="00E57B81">
        <w:rPr>
          <w:position w:val="-10"/>
        </w:rPr>
        <w:object w:dxaOrig="720" w:dyaOrig="300" w14:anchorId="59110BEE">
          <v:shape id="_x0000_i1039" type="#_x0000_t75" style="width:36.95pt;height:15.05pt" o:ole="">
            <v:imagedata r:id="rId36" o:title=""/>
          </v:shape>
          <o:OLEObject Type="Embed" ProgID="Equation.3" ShapeID="_x0000_i1039" DrawAspect="Content" ObjectID="_1536790523" r:id="rId37"/>
        </w:object>
      </w:r>
      <w:r w:rsidR="00167411">
        <w:t xml:space="preserve"> is a cell </w:t>
      </w:r>
      <w:r w:rsidR="000B6D06">
        <w:t>specific</w:t>
      </w:r>
      <w:r w:rsidR="00167411">
        <w:t xml:space="preserve"> number generated pseudo-randomly in a slot by slot basis. </w:t>
      </w:r>
      <w:r w:rsidR="00A249E0" w:rsidRPr="00111DB1">
        <w:rPr>
          <w:position w:val="-14"/>
        </w:rPr>
        <w:object w:dxaOrig="700" w:dyaOrig="380" w14:anchorId="51F364D4">
          <v:shape id="_x0000_i1040" type="#_x0000_t75" style="width:35.05pt;height:18.8pt" o:ole="">
            <v:imagedata r:id="rId38" o:title=""/>
          </v:shape>
          <o:OLEObject Type="Embed" ProgID="Equation.3" ShapeID="_x0000_i1040" DrawAspect="Content" ObjectID="_1536790524" r:id="rId39"/>
        </w:object>
      </w:r>
      <w:r w:rsidR="00A249E0">
        <w:t xml:space="preserve"> is given by the </w:t>
      </w:r>
      <w:r w:rsidR="00A249E0">
        <w:rPr>
          <w:rFonts w:hint="eastAsia"/>
          <w:lang w:eastAsia="ko-KR"/>
        </w:rPr>
        <w:t xml:space="preserve">cyclic shift field in </w:t>
      </w:r>
      <w:r w:rsidR="002E6DA9">
        <w:rPr>
          <w:lang w:eastAsia="ko-KR"/>
        </w:rPr>
        <w:t>the uplink</w:t>
      </w:r>
      <w:r w:rsidR="00A249E0">
        <w:rPr>
          <w:lang w:eastAsia="ko-KR"/>
        </w:rPr>
        <w:t xml:space="preserve">-related </w:t>
      </w:r>
      <w:r w:rsidR="00A249E0">
        <w:rPr>
          <w:rFonts w:hint="eastAsia"/>
          <w:lang w:eastAsia="ko-KR"/>
        </w:rPr>
        <w:t xml:space="preserve">DCI </w:t>
      </w:r>
      <w:r w:rsidR="00F02496">
        <w:rPr>
          <w:lang w:eastAsia="ko-KR"/>
        </w:rPr>
        <w:t>format in</w:t>
      </w:r>
      <w:r w:rsidR="00A249E0">
        <w:rPr>
          <w:rFonts w:hint="eastAsia"/>
          <w:lang w:eastAsia="ko-KR"/>
        </w:rPr>
        <w:t xml:space="preserve"> Table 5.5.2.1</w:t>
      </w:r>
      <w:r w:rsidR="00A249E0">
        <w:rPr>
          <w:lang w:eastAsia="ko-KR"/>
        </w:rPr>
        <w:t>.1</w:t>
      </w:r>
      <w:r w:rsidR="00A249E0">
        <w:rPr>
          <w:rFonts w:hint="eastAsia"/>
          <w:lang w:eastAsia="ko-KR"/>
        </w:rPr>
        <w:t>-1</w:t>
      </w:r>
      <w:r w:rsidR="00A249E0">
        <w:rPr>
          <w:lang w:eastAsia="ko-KR"/>
        </w:rPr>
        <w:t xml:space="preserve"> of TS36.211</w:t>
      </w:r>
      <w:r w:rsidR="005535FA">
        <w:rPr>
          <w:lang w:eastAsia="ko-KR"/>
        </w:rPr>
        <w:t xml:space="preserve">, which </w:t>
      </w:r>
      <w:r w:rsidR="00A249E0">
        <w:rPr>
          <w:lang w:eastAsia="ko-KR"/>
        </w:rPr>
        <w:t>is copied below.</w:t>
      </w:r>
    </w:p>
    <w:p w14:paraId="1E46F948" w14:textId="77777777" w:rsidR="00167411" w:rsidRDefault="00167411" w:rsidP="00167411">
      <w:pPr>
        <w:pStyle w:val="TH"/>
      </w:pPr>
      <w:r>
        <w:lastRenderedPageBreak/>
        <w:t xml:space="preserve">Table 5.5.2.1.1-1: Mapping of Cyclic Shift Field in uplink-related DCI format to </w:t>
      </w:r>
      <w:r w:rsidRPr="00111DB1">
        <w:rPr>
          <w:position w:val="-14"/>
        </w:rPr>
        <w:object w:dxaOrig="700" w:dyaOrig="380" w14:anchorId="4E5EAC10">
          <v:shape id="_x0000_i1041" type="#_x0000_t75" style="width:35.05pt;height:18.8pt" o:ole="">
            <v:imagedata r:id="rId40" o:title=""/>
          </v:shape>
          <o:OLEObject Type="Embed" ProgID="Equation.3" ShapeID="_x0000_i1041" DrawAspect="Content" ObjectID="_1536790525" r:id="rId41"/>
        </w:object>
      </w:r>
      <w:r>
        <w:t xml:space="preserve"> and </w:t>
      </w:r>
      <w:r w:rsidRPr="00111DB1">
        <w:rPr>
          <w:position w:val="-14"/>
        </w:rPr>
        <w:object w:dxaOrig="1579" w:dyaOrig="440" w14:anchorId="20FBCCF6">
          <v:shape id="_x0000_i1042" type="#_x0000_t75" style="width:78.9pt;height:21.9pt" o:ole="">
            <v:imagedata r:id="rId42" o:title=""/>
          </v:shape>
          <o:OLEObject Type="Embed" ProgID="Equation.3" ShapeID="_x0000_i1042" DrawAspect="Content" ObjectID="_1536790526" r:id="rId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648"/>
        <w:gridCol w:w="648"/>
        <w:gridCol w:w="712"/>
        <w:gridCol w:w="697"/>
        <w:gridCol w:w="921"/>
        <w:gridCol w:w="921"/>
        <w:gridCol w:w="921"/>
        <w:gridCol w:w="921"/>
      </w:tblGrid>
      <w:tr w:rsidR="00167411" w14:paraId="168B01A0" w14:textId="77777777" w:rsidTr="00BF1BA4">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3D604D7" w14:textId="77777777" w:rsidR="00167411" w:rsidRPr="005535FA" w:rsidRDefault="00167411" w:rsidP="00BF1BA4">
            <w:pPr>
              <w:pStyle w:val="TAH"/>
              <w:rPr>
                <w:rFonts w:ascii="Times New Roman" w:hAnsi="Times New Roman"/>
                <w:szCs w:val="18"/>
              </w:rPr>
            </w:pPr>
            <w:r w:rsidRPr="005535FA">
              <w:rPr>
                <w:rFonts w:ascii="Times New Roman" w:hAnsi="Times New Roman"/>
                <w:szCs w:val="18"/>
              </w:rPr>
              <w:t xml:space="preserve">Cyclic Shift Field in </w:t>
            </w:r>
          </w:p>
          <w:p w14:paraId="64848318" w14:textId="77777777" w:rsidR="00167411" w:rsidRPr="005535FA" w:rsidRDefault="00167411" w:rsidP="00BF1BA4">
            <w:pPr>
              <w:pStyle w:val="TAH"/>
              <w:rPr>
                <w:rFonts w:ascii="Times New Roman" w:hAnsi="Times New Roman"/>
                <w:szCs w:val="18"/>
              </w:rPr>
            </w:pPr>
            <w:r w:rsidRPr="005535FA">
              <w:rPr>
                <w:rFonts w:ascii="Times New Roman" w:hAnsi="Times New Roman"/>
                <w:szCs w:val="18"/>
              </w:rPr>
              <w:t>uplink-related DCI format [3]</w: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4AA62B80"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14"/>
                <w:szCs w:val="18"/>
              </w:rPr>
              <w:object w:dxaOrig="700" w:dyaOrig="380" w14:anchorId="76F2C976">
                <v:shape id="_x0000_i1043" type="#_x0000_t75" style="width:35.05pt;height:18.8pt" o:ole="">
                  <v:imagedata r:id="rId44" o:title=""/>
                </v:shape>
                <o:OLEObject Type="Embed" ProgID="Equation.3" ShapeID="_x0000_i1043" DrawAspect="Content" ObjectID="_1536790527" r:id="rId45"/>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14:paraId="63DFAA09"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10"/>
                <w:szCs w:val="18"/>
              </w:rPr>
              <w:object w:dxaOrig="1579" w:dyaOrig="400" w14:anchorId="5B27BABD">
                <v:shape id="_x0000_i1044" type="#_x0000_t75" style="width:79.5pt;height:20.05pt" o:ole="">
                  <v:imagedata r:id="rId46" o:title=""/>
                </v:shape>
                <o:OLEObject Type="Embed" ProgID="Equation.3" ShapeID="_x0000_i1044" DrawAspect="Content" ObjectID="_1536790528" r:id="rId47"/>
              </w:object>
            </w:r>
          </w:p>
        </w:tc>
      </w:tr>
      <w:tr w:rsidR="00167411" w14:paraId="1C7F3781" w14:textId="77777777" w:rsidTr="00BF1BA4">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DCA0F3E" w14:textId="77777777" w:rsidR="00167411" w:rsidRPr="005535FA" w:rsidRDefault="00167411" w:rsidP="00BF1BA4">
            <w:pPr>
              <w:rPr>
                <w:b/>
                <w:sz w:val="18"/>
                <w:szCs w:val="18"/>
              </w:rPr>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14:paraId="7BB7BF98" w14:textId="4B8AB0EA" w:rsidR="00167411" w:rsidRPr="005535FA" w:rsidRDefault="00167411" w:rsidP="00BF1BA4">
            <w:pPr>
              <w:pStyle w:val="TAH"/>
              <w:rPr>
                <w:rFonts w:ascii="Times New Roman" w:hAnsi="Times New Roman"/>
                <w:szCs w:val="18"/>
              </w:rPr>
            </w:pPr>
            <w:r w:rsidRPr="005535FA">
              <w:rPr>
                <w:rFonts w:ascii="Times New Roman" w:hAnsi="Times New Roman"/>
                <w:noProof/>
                <w:position w:val="-6"/>
                <w:szCs w:val="18"/>
                <w:lang w:val="en-US" w:eastAsia="en-US"/>
              </w:rPr>
              <w:drawing>
                <wp:inline distT="0" distB="0" distL="0" distR="0" wp14:anchorId="1E33BCB4" wp14:editId="2C40C322">
                  <wp:extent cx="27432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533E3702" w14:textId="13433E47" w:rsidR="00167411" w:rsidRPr="005535FA" w:rsidRDefault="00167411" w:rsidP="00BF1BA4">
            <w:pPr>
              <w:pStyle w:val="TAH"/>
              <w:rPr>
                <w:rFonts w:ascii="Times New Roman" w:hAnsi="Times New Roman"/>
                <w:szCs w:val="18"/>
              </w:rPr>
            </w:pPr>
            <w:r w:rsidRPr="005535FA">
              <w:rPr>
                <w:rFonts w:ascii="Times New Roman" w:hAnsi="Times New Roman"/>
                <w:noProof/>
                <w:position w:val="-6"/>
                <w:szCs w:val="18"/>
                <w:lang w:val="en-US" w:eastAsia="en-US"/>
              </w:rPr>
              <w:drawing>
                <wp:inline distT="0" distB="0" distL="0" distR="0" wp14:anchorId="41DB0947" wp14:editId="147CCFF9">
                  <wp:extent cx="2743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4D12D42"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6"/>
                <w:szCs w:val="18"/>
              </w:rPr>
              <w:object w:dxaOrig="499" w:dyaOrig="240" w14:anchorId="0AFFB200">
                <v:shape id="_x0000_i1045" type="#_x0000_t75" style="width:25.05pt;height:11.9pt" o:ole="">
                  <v:imagedata r:id="rId50" o:title=""/>
                </v:shape>
                <o:OLEObject Type="Embed" ProgID="Equation.3" ShapeID="_x0000_i1045" DrawAspect="Content" ObjectID="_1536790529" r:id="rId51"/>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37C1F52C"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6"/>
                <w:szCs w:val="18"/>
              </w:rPr>
              <w:object w:dxaOrig="499" w:dyaOrig="240" w14:anchorId="0E5C6F3D">
                <v:shape id="_x0000_i1046" type="#_x0000_t75" style="width:23.8pt;height:11.9pt" o:ole="">
                  <v:imagedata r:id="rId52" o:title=""/>
                </v:shape>
                <o:OLEObject Type="Embed" ProgID="Equation.3" ShapeID="_x0000_i1046" DrawAspect="Content" ObjectID="_1536790530" r:id="rId53"/>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26E77BAB" w14:textId="4785E895" w:rsidR="00167411" w:rsidRPr="005535FA" w:rsidRDefault="00167411" w:rsidP="00BF1BA4">
            <w:pPr>
              <w:pStyle w:val="TAH"/>
              <w:rPr>
                <w:rFonts w:ascii="Times New Roman" w:hAnsi="Times New Roman"/>
                <w:szCs w:val="18"/>
              </w:rPr>
            </w:pPr>
            <w:r w:rsidRPr="005535FA">
              <w:rPr>
                <w:rFonts w:ascii="Times New Roman" w:hAnsi="Times New Roman"/>
                <w:noProof/>
                <w:position w:val="-6"/>
                <w:szCs w:val="18"/>
                <w:lang w:val="en-US" w:eastAsia="en-US"/>
              </w:rPr>
              <w:drawing>
                <wp:inline distT="0" distB="0" distL="0" distR="0" wp14:anchorId="0B242458" wp14:editId="328F88F5">
                  <wp:extent cx="2743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19800B11"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6"/>
                <w:szCs w:val="18"/>
              </w:rPr>
              <w:object w:dxaOrig="460" w:dyaOrig="240" w14:anchorId="04930BC1">
                <v:shape id="_x0000_i1047" type="#_x0000_t75" style="width:23.15pt;height:11.9pt" o:ole="">
                  <v:imagedata r:id="rId54" o:title=""/>
                </v:shape>
                <o:OLEObject Type="Embed" ProgID="Equation.3" ShapeID="_x0000_i1047" DrawAspect="Content" ObjectID="_1536790531" r:id="rId55"/>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60354AA3"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6"/>
                <w:szCs w:val="18"/>
              </w:rPr>
              <w:object w:dxaOrig="499" w:dyaOrig="240" w14:anchorId="18369F0B">
                <v:shape id="_x0000_i1048" type="#_x0000_t75" style="width:25.05pt;height:11.9pt" o:ole="">
                  <v:imagedata r:id="rId56" o:title=""/>
                </v:shape>
                <o:OLEObject Type="Embed" ProgID="Equation.3" ShapeID="_x0000_i1048" DrawAspect="Content" ObjectID="_1536790532" r:id="rId57"/>
              </w:object>
            </w:r>
          </w:p>
        </w:tc>
        <w:tc>
          <w:tcPr>
            <w:tcW w:w="0" w:type="auto"/>
            <w:tcBorders>
              <w:top w:val="single" w:sz="4" w:space="0" w:color="FFFFFF"/>
              <w:left w:val="single" w:sz="4" w:space="0" w:color="auto"/>
              <w:bottom w:val="single" w:sz="4" w:space="0" w:color="auto"/>
              <w:right w:val="single" w:sz="4" w:space="0" w:color="auto"/>
            </w:tcBorders>
            <w:shd w:val="clear" w:color="auto" w:fill="E0E0E0"/>
          </w:tcPr>
          <w:p w14:paraId="777D49A5" w14:textId="77777777" w:rsidR="00167411" w:rsidRPr="005535FA" w:rsidRDefault="00167411" w:rsidP="00BF1BA4">
            <w:pPr>
              <w:pStyle w:val="TAH"/>
              <w:rPr>
                <w:rFonts w:ascii="Times New Roman" w:hAnsi="Times New Roman"/>
                <w:szCs w:val="18"/>
              </w:rPr>
            </w:pPr>
            <w:r w:rsidRPr="005535FA">
              <w:rPr>
                <w:rFonts w:ascii="Times New Roman" w:hAnsi="Times New Roman"/>
                <w:position w:val="-6"/>
                <w:szCs w:val="18"/>
              </w:rPr>
              <w:object w:dxaOrig="499" w:dyaOrig="240" w14:anchorId="028017C1">
                <v:shape id="_x0000_i1049" type="#_x0000_t75" style="width:23.8pt;height:11.9pt" o:ole="">
                  <v:imagedata r:id="rId58" o:title=""/>
                </v:shape>
                <o:OLEObject Type="Embed" ProgID="Equation.3" ShapeID="_x0000_i1049" DrawAspect="Content" ObjectID="_1536790533" r:id="rId59"/>
              </w:object>
            </w:r>
          </w:p>
        </w:tc>
      </w:tr>
      <w:tr w:rsidR="00167411" w14:paraId="4C22A5DC"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7810D6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000</w:t>
            </w:r>
          </w:p>
        </w:tc>
        <w:tc>
          <w:tcPr>
            <w:tcW w:w="0" w:type="auto"/>
            <w:tcBorders>
              <w:top w:val="single" w:sz="4" w:space="0" w:color="auto"/>
              <w:left w:val="single" w:sz="4" w:space="0" w:color="auto"/>
              <w:bottom w:val="single" w:sz="4" w:space="0" w:color="auto"/>
              <w:right w:val="single" w:sz="4" w:space="0" w:color="auto"/>
            </w:tcBorders>
            <w:vAlign w:val="center"/>
          </w:tcPr>
          <w:p w14:paraId="0CEB20F3"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335BD488"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64F53F78"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F90C52C"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5FE8F602"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071C07C8">
                <v:shape id="_x0000_i1050" type="#_x0000_t75" style="width:27.55pt;height:18.8pt" o:ole="">
                  <v:imagedata r:id="rId60" o:title=""/>
                </v:shape>
                <o:OLEObject Type="Embed" ProgID="Equation.3" ShapeID="_x0000_i1050" DrawAspect="Content" ObjectID="_1536790534"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0732A071"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59632DC4">
                <v:shape id="_x0000_i1051" type="#_x0000_t75" style="width:27.55pt;height:18.8pt" o:ole="">
                  <v:imagedata r:id="rId60" o:title=""/>
                </v:shape>
                <o:OLEObject Type="Embed" ProgID="Equation.3" ShapeID="_x0000_i1051" DrawAspect="Content" ObjectID="_1536790535" r:id="rId62"/>
              </w:object>
            </w:r>
          </w:p>
        </w:tc>
        <w:tc>
          <w:tcPr>
            <w:tcW w:w="0" w:type="auto"/>
            <w:tcBorders>
              <w:top w:val="single" w:sz="4" w:space="0" w:color="auto"/>
              <w:left w:val="single" w:sz="4" w:space="0" w:color="auto"/>
              <w:bottom w:val="single" w:sz="4" w:space="0" w:color="auto"/>
              <w:right w:val="single" w:sz="4" w:space="0" w:color="auto"/>
            </w:tcBorders>
            <w:vAlign w:val="center"/>
          </w:tcPr>
          <w:p w14:paraId="3C41D03D"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4CDFAC2F">
                <v:shape id="_x0000_i1052" type="#_x0000_t75" style="width:35.05pt;height:18.8pt" o:ole="">
                  <v:imagedata r:id="rId63" o:title=""/>
                </v:shape>
                <o:OLEObject Type="Embed" ProgID="Equation.3" ShapeID="_x0000_i1052" DrawAspect="Content" ObjectID="_1536790536" r:id="rId64"/>
              </w:object>
            </w:r>
          </w:p>
        </w:tc>
        <w:tc>
          <w:tcPr>
            <w:tcW w:w="0" w:type="auto"/>
            <w:tcBorders>
              <w:top w:val="single" w:sz="4" w:space="0" w:color="auto"/>
              <w:left w:val="single" w:sz="4" w:space="0" w:color="auto"/>
              <w:bottom w:val="single" w:sz="4" w:space="0" w:color="auto"/>
              <w:right w:val="single" w:sz="4" w:space="0" w:color="auto"/>
            </w:tcBorders>
            <w:vAlign w:val="center"/>
          </w:tcPr>
          <w:p w14:paraId="43DE8F0C"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3BDD5886">
                <v:shape id="_x0000_i1053" type="#_x0000_t75" style="width:35.05pt;height:18.8pt" o:ole="">
                  <v:imagedata r:id="rId63" o:title=""/>
                </v:shape>
                <o:OLEObject Type="Embed" ProgID="Equation.3" ShapeID="_x0000_i1053" DrawAspect="Content" ObjectID="_1536790537" r:id="rId65"/>
              </w:object>
            </w:r>
          </w:p>
        </w:tc>
      </w:tr>
      <w:tr w:rsidR="00167411" w14:paraId="3A6D4BCB"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41D557"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001</w:t>
            </w:r>
          </w:p>
        </w:tc>
        <w:tc>
          <w:tcPr>
            <w:tcW w:w="0" w:type="auto"/>
            <w:tcBorders>
              <w:top w:val="single" w:sz="4" w:space="0" w:color="auto"/>
              <w:left w:val="single" w:sz="4" w:space="0" w:color="auto"/>
              <w:bottom w:val="single" w:sz="4" w:space="0" w:color="auto"/>
              <w:right w:val="single" w:sz="4" w:space="0" w:color="auto"/>
            </w:tcBorders>
            <w:vAlign w:val="center"/>
          </w:tcPr>
          <w:p w14:paraId="40A26470"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30F403DD"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C4513B3"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21116869"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3DF4855"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3599D12A">
                <v:shape id="_x0000_i1054" type="#_x0000_t75" style="width:35.15pt;height:18.85pt" o:ole="">
                  <v:imagedata r:id="rId63" o:title=""/>
                </v:shape>
                <o:OLEObject Type="Embed" ProgID="Equation.3" ShapeID="_x0000_i1054" DrawAspect="Content" ObjectID="_1536790538" r:id="rId66"/>
              </w:object>
            </w:r>
          </w:p>
        </w:tc>
        <w:tc>
          <w:tcPr>
            <w:tcW w:w="0" w:type="auto"/>
            <w:tcBorders>
              <w:top w:val="single" w:sz="4" w:space="0" w:color="auto"/>
              <w:left w:val="single" w:sz="4" w:space="0" w:color="auto"/>
              <w:bottom w:val="single" w:sz="4" w:space="0" w:color="auto"/>
              <w:right w:val="single" w:sz="4" w:space="0" w:color="auto"/>
            </w:tcBorders>
            <w:vAlign w:val="center"/>
          </w:tcPr>
          <w:p w14:paraId="17E6A399"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68FA12D8">
                <v:shape id="_x0000_i1055" type="#_x0000_t75" style="width:35.15pt;height:18.85pt" o:ole="">
                  <v:imagedata r:id="rId63" o:title=""/>
                </v:shape>
                <o:OLEObject Type="Embed" ProgID="Equation.3" ShapeID="_x0000_i1055" DrawAspect="Content" ObjectID="_1536790539"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061ED956"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5CB1D976">
                <v:shape id="_x0000_i1056" type="#_x0000_t75" style="width:27.45pt;height:18.85pt" o:ole="">
                  <v:imagedata r:id="rId60" o:title=""/>
                </v:shape>
                <o:OLEObject Type="Embed" ProgID="Equation.3" ShapeID="_x0000_i1056" DrawAspect="Content" ObjectID="_1536790540" r:id="rId68"/>
              </w:object>
            </w:r>
          </w:p>
        </w:tc>
        <w:tc>
          <w:tcPr>
            <w:tcW w:w="0" w:type="auto"/>
            <w:tcBorders>
              <w:top w:val="single" w:sz="4" w:space="0" w:color="auto"/>
              <w:left w:val="single" w:sz="4" w:space="0" w:color="auto"/>
              <w:bottom w:val="single" w:sz="4" w:space="0" w:color="auto"/>
              <w:right w:val="single" w:sz="4" w:space="0" w:color="auto"/>
            </w:tcBorders>
            <w:vAlign w:val="center"/>
          </w:tcPr>
          <w:p w14:paraId="688466EC"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2DF05A69">
                <v:shape id="_x0000_i1057" type="#_x0000_t75" style="width:27.45pt;height:18.85pt" o:ole="">
                  <v:imagedata r:id="rId60" o:title=""/>
                </v:shape>
                <o:OLEObject Type="Embed" ProgID="Equation.3" ShapeID="_x0000_i1057" DrawAspect="Content" ObjectID="_1536790541" r:id="rId69"/>
              </w:object>
            </w:r>
          </w:p>
        </w:tc>
      </w:tr>
      <w:tr w:rsidR="00167411" w14:paraId="266D38A4"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017F58"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010</w:t>
            </w:r>
          </w:p>
        </w:tc>
        <w:tc>
          <w:tcPr>
            <w:tcW w:w="0" w:type="auto"/>
            <w:tcBorders>
              <w:top w:val="single" w:sz="4" w:space="0" w:color="auto"/>
              <w:left w:val="single" w:sz="4" w:space="0" w:color="auto"/>
              <w:bottom w:val="single" w:sz="4" w:space="0" w:color="auto"/>
              <w:right w:val="single" w:sz="4" w:space="0" w:color="auto"/>
            </w:tcBorders>
            <w:vAlign w:val="center"/>
          </w:tcPr>
          <w:p w14:paraId="6A7F0937"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691704D"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348E1456"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49AF0354"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A1F906B"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78C9401D">
                <v:shape id="_x0000_i1058" type="#_x0000_t75" style="width:35.15pt;height:18.85pt" o:ole="">
                  <v:imagedata r:id="rId63" o:title=""/>
                </v:shape>
                <o:OLEObject Type="Embed" ProgID="Equation.3" ShapeID="_x0000_i1058" DrawAspect="Content" ObjectID="_1536790542" r:id="rId70"/>
              </w:object>
            </w:r>
          </w:p>
        </w:tc>
        <w:tc>
          <w:tcPr>
            <w:tcW w:w="0" w:type="auto"/>
            <w:tcBorders>
              <w:top w:val="single" w:sz="4" w:space="0" w:color="auto"/>
              <w:left w:val="single" w:sz="4" w:space="0" w:color="auto"/>
              <w:bottom w:val="single" w:sz="4" w:space="0" w:color="auto"/>
              <w:right w:val="single" w:sz="4" w:space="0" w:color="auto"/>
            </w:tcBorders>
            <w:vAlign w:val="center"/>
          </w:tcPr>
          <w:p w14:paraId="07F45016"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5BAD8DCC">
                <v:shape id="_x0000_i1059" type="#_x0000_t75" style="width:35.15pt;height:18.85pt" o:ole="">
                  <v:imagedata r:id="rId63" o:title=""/>
                </v:shape>
                <o:OLEObject Type="Embed" ProgID="Equation.3" ShapeID="_x0000_i1059" DrawAspect="Content" ObjectID="_1536790543" r:id="rId71"/>
              </w:object>
            </w:r>
          </w:p>
        </w:tc>
        <w:tc>
          <w:tcPr>
            <w:tcW w:w="0" w:type="auto"/>
            <w:tcBorders>
              <w:top w:val="single" w:sz="4" w:space="0" w:color="auto"/>
              <w:left w:val="single" w:sz="4" w:space="0" w:color="auto"/>
              <w:bottom w:val="single" w:sz="4" w:space="0" w:color="auto"/>
              <w:right w:val="single" w:sz="4" w:space="0" w:color="auto"/>
            </w:tcBorders>
            <w:vAlign w:val="center"/>
          </w:tcPr>
          <w:p w14:paraId="42B10F18"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2C25AF4A">
                <v:shape id="_x0000_i1060" type="#_x0000_t75" style="width:27.45pt;height:18.85pt" o:ole="">
                  <v:imagedata r:id="rId60" o:title=""/>
                </v:shape>
                <o:OLEObject Type="Embed" ProgID="Equation.3" ShapeID="_x0000_i1060" DrawAspect="Content" ObjectID="_1536790544" r:id="rId72"/>
              </w:object>
            </w:r>
          </w:p>
        </w:tc>
        <w:tc>
          <w:tcPr>
            <w:tcW w:w="0" w:type="auto"/>
            <w:tcBorders>
              <w:top w:val="single" w:sz="4" w:space="0" w:color="auto"/>
              <w:left w:val="single" w:sz="4" w:space="0" w:color="auto"/>
              <w:bottom w:val="single" w:sz="4" w:space="0" w:color="auto"/>
              <w:right w:val="single" w:sz="4" w:space="0" w:color="auto"/>
            </w:tcBorders>
            <w:vAlign w:val="center"/>
          </w:tcPr>
          <w:p w14:paraId="1D9CE0EA"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3CC27E1A">
                <v:shape id="_x0000_i1061" type="#_x0000_t75" style="width:27.45pt;height:18.85pt" o:ole="">
                  <v:imagedata r:id="rId60" o:title=""/>
                </v:shape>
                <o:OLEObject Type="Embed" ProgID="Equation.3" ShapeID="_x0000_i1061" DrawAspect="Content" ObjectID="_1536790545" r:id="rId73"/>
              </w:object>
            </w:r>
          </w:p>
        </w:tc>
      </w:tr>
      <w:tr w:rsidR="00167411" w14:paraId="3E361CD4"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2B7EE"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011</w:t>
            </w:r>
          </w:p>
        </w:tc>
        <w:tc>
          <w:tcPr>
            <w:tcW w:w="0" w:type="auto"/>
            <w:tcBorders>
              <w:top w:val="single" w:sz="4" w:space="0" w:color="auto"/>
              <w:left w:val="single" w:sz="4" w:space="0" w:color="auto"/>
              <w:bottom w:val="single" w:sz="4" w:space="0" w:color="auto"/>
              <w:right w:val="single" w:sz="4" w:space="0" w:color="auto"/>
            </w:tcBorders>
            <w:vAlign w:val="center"/>
          </w:tcPr>
          <w:p w14:paraId="19F702D3"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3434189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D9F4A3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72EE19A2"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335A41E8"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0C6C8B95">
                <v:shape id="_x0000_i1062" type="#_x0000_t75" style="width:27.45pt;height:18.85pt" o:ole="">
                  <v:imagedata r:id="rId60" o:title=""/>
                </v:shape>
                <o:OLEObject Type="Embed" ProgID="Equation.3" ShapeID="_x0000_i1062" DrawAspect="Content" ObjectID="_1536790546" r:id="rId74"/>
              </w:object>
            </w:r>
          </w:p>
        </w:tc>
        <w:tc>
          <w:tcPr>
            <w:tcW w:w="0" w:type="auto"/>
            <w:tcBorders>
              <w:top w:val="single" w:sz="4" w:space="0" w:color="auto"/>
              <w:left w:val="single" w:sz="4" w:space="0" w:color="auto"/>
              <w:bottom w:val="single" w:sz="4" w:space="0" w:color="auto"/>
              <w:right w:val="single" w:sz="4" w:space="0" w:color="auto"/>
            </w:tcBorders>
            <w:vAlign w:val="center"/>
          </w:tcPr>
          <w:p w14:paraId="289F240B"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3B338854">
                <v:shape id="_x0000_i1063" type="#_x0000_t75" style="width:27.45pt;height:18.85pt" o:ole="">
                  <v:imagedata r:id="rId60" o:title=""/>
                </v:shape>
                <o:OLEObject Type="Embed" ProgID="Equation.3" ShapeID="_x0000_i1063" DrawAspect="Content" ObjectID="_1536790547"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7C368DC3"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4301D702">
                <v:shape id="_x0000_i1064" type="#_x0000_t75" style="width:27.45pt;height:18.85pt" o:ole="">
                  <v:imagedata r:id="rId60" o:title=""/>
                </v:shape>
                <o:OLEObject Type="Embed" ProgID="Equation.3" ShapeID="_x0000_i1064" DrawAspect="Content" ObjectID="_1536790548" r:id="rId76"/>
              </w:object>
            </w:r>
          </w:p>
        </w:tc>
        <w:tc>
          <w:tcPr>
            <w:tcW w:w="0" w:type="auto"/>
            <w:tcBorders>
              <w:top w:val="single" w:sz="4" w:space="0" w:color="auto"/>
              <w:left w:val="single" w:sz="4" w:space="0" w:color="auto"/>
              <w:bottom w:val="single" w:sz="4" w:space="0" w:color="auto"/>
              <w:right w:val="single" w:sz="4" w:space="0" w:color="auto"/>
            </w:tcBorders>
            <w:vAlign w:val="center"/>
          </w:tcPr>
          <w:p w14:paraId="53E974E3"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38A22F0F">
                <v:shape id="_x0000_i1065" type="#_x0000_t75" style="width:27.45pt;height:18.85pt" o:ole="">
                  <v:imagedata r:id="rId60" o:title=""/>
                </v:shape>
                <o:OLEObject Type="Embed" ProgID="Equation.3" ShapeID="_x0000_i1065" DrawAspect="Content" ObjectID="_1536790549" r:id="rId77"/>
              </w:object>
            </w:r>
          </w:p>
        </w:tc>
      </w:tr>
      <w:tr w:rsidR="00167411" w14:paraId="7A4B5B00" w14:textId="77777777" w:rsidTr="00BF1BA4">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CCE3A"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805F69"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CD91EE7"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1083630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1B79E419"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11</w:t>
            </w:r>
          </w:p>
        </w:tc>
        <w:tc>
          <w:tcPr>
            <w:tcW w:w="0" w:type="auto"/>
            <w:tcBorders>
              <w:top w:val="single" w:sz="4" w:space="0" w:color="auto"/>
              <w:left w:val="single" w:sz="4" w:space="0" w:color="auto"/>
              <w:bottom w:val="single" w:sz="4" w:space="0" w:color="auto"/>
              <w:right w:val="single" w:sz="4" w:space="0" w:color="auto"/>
            </w:tcBorders>
            <w:vAlign w:val="center"/>
          </w:tcPr>
          <w:p w14:paraId="2E30588B"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40F4294B">
                <v:shape id="_x0000_i1066" type="#_x0000_t75" style="width:27.45pt;height:18.85pt" o:ole="">
                  <v:imagedata r:id="rId60" o:title=""/>
                </v:shape>
                <o:OLEObject Type="Embed" ProgID="Equation.3" ShapeID="_x0000_i1066" DrawAspect="Content" ObjectID="_1536790550" r:id="rId78"/>
              </w:object>
            </w:r>
          </w:p>
        </w:tc>
        <w:tc>
          <w:tcPr>
            <w:tcW w:w="0" w:type="auto"/>
            <w:tcBorders>
              <w:top w:val="single" w:sz="4" w:space="0" w:color="auto"/>
              <w:left w:val="single" w:sz="4" w:space="0" w:color="auto"/>
              <w:bottom w:val="single" w:sz="4" w:space="0" w:color="auto"/>
              <w:right w:val="single" w:sz="4" w:space="0" w:color="auto"/>
            </w:tcBorders>
            <w:vAlign w:val="center"/>
          </w:tcPr>
          <w:p w14:paraId="0FC18E96"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71E0E9BA">
                <v:shape id="_x0000_i1067" type="#_x0000_t75" style="width:27.45pt;height:18.85pt" o:ole="">
                  <v:imagedata r:id="rId60" o:title=""/>
                </v:shape>
                <o:OLEObject Type="Embed" ProgID="Equation.3" ShapeID="_x0000_i1067" DrawAspect="Content" ObjectID="_1536790551"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0F87CBEA"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5C736959">
                <v:shape id="_x0000_i1068" type="#_x0000_t75" style="width:27.45pt;height:18.85pt" o:ole="">
                  <v:imagedata r:id="rId60" o:title=""/>
                </v:shape>
                <o:OLEObject Type="Embed" ProgID="Equation.3" ShapeID="_x0000_i1068" DrawAspect="Content" ObjectID="_1536790552" r:id="rId80"/>
              </w:object>
            </w:r>
          </w:p>
        </w:tc>
        <w:tc>
          <w:tcPr>
            <w:tcW w:w="0" w:type="auto"/>
            <w:tcBorders>
              <w:top w:val="single" w:sz="4" w:space="0" w:color="auto"/>
              <w:left w:val="single" w:sz="4" w:space="0" w:color="auto"/>
              <w:bottom w:val="single" w:sz="4" w:space="0" w:color="auto"/>
              <w:right w:val="single" w:sz="4" w:space="0" w:color="auto"/>
            </w:tcBorders>
            <w:vAlign w:val="center"/>
          </w:tcPr>
          <w:p w14:paraId="67A6850E"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529D6102">
                <v:shape id="_x0000_i1069" type="#_x0000_t75" style="width:27.45pt;height:18.85pt" o:ole="">
                  <v:imagedata r:id="rId60" o:title=""/>
                </v:shape>
                <o:OLEObject Type="Embed" ProgID="Equation.3" ShapeID="_x0000_i1069" DrawAspect="Content" ObjectID="_1536790553" r:id="rId81"/>
              </w:object>
            </w:r>
          </w:p>
        </w:tc>
      </w:tr>
      <w:tr w:rsidR="00167411" w14:paraId="1134FF89"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EF04F0"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101</w:t>
            </w:r>
          </w:p>
        </w:tc>
        <w:tc>
          <w:tcPr>
            <w:tcW w:w="0" w:type="auto"/>
            <w:tcBorders>
              <w:top w:val="single" w:sz="4" w:space="0" w:color="auto"/>
              <w:left w:val="single" w:sz="4" w:space="0" w:color="auto"/>
              <w:bottom w:val="single" w:sz="4" w:space="0" w:color="auto"/>
              <w:right w:val="single" w:sz="4" w:space="0" w:color="auto"/>
            </w:tcBorders>
            <w:vAlign w:val="center"/>
          </w:tcPr>
          <w:p w14:paraId="679D416E"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8</w:t>
            </w:r>
          </w:p>
        </w:tc>
        <w:tc>
          <w:tcPr>
            <w:tcW w:w="0" w:type="auto"/>
            <w:tcBorders>
              <w:top w:val="single" w:sz="4" w:space="0" w:color="auto"/>
              <w:left w:val="single" w:sz="4" w:space="0" w:color="auto"/>
              <w:bottom w:val="single" w:sz="4" w:space="0" w:color="auto"/>
              <w:right w:val="single" w:sz="4" w:space="0" w:color="auto"/>
            </w:tcBorders>
            <w:vAlign w:val="center"/>
          </w:tcPr>
          <w:p w14:paraId="16E3F56D"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24B0F9E"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11</w:t>
            </w:r>
          </w:p>
        </w:tc>
        <w:tc>
          <w:tcPr>
            <w:tcW w:w="0" w:type="auto"/>
            <w:tcBorders>
              <w:top w:val="single" w:sz="4" w:space="0" w:color="auto"/>
              <w:left w:val="single" w:sz="4" w:space="0" w:color="auto"/>
              <w:bottom w:val="single" w:sz="4" w:space="0" w:color="auto"/>
              <w:right w:val="single" w:sz="4" w:space="0" w:color="auto"/>
            </w:tcBorders>
            <w:vAlign w:val="center"/>
          </w:tcPr>
          <w:p w14:paraId="54A3030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0CB718B4"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7A9F7638">
                <v:shape id="_x0000_i1070" type="#_x0000_t75" style="width:35.15pt;height:18.85pt" o:ole="">
                  <v:imagedata r:id="rId63" o:title=""/>
                </v:shape>
                <o:OLEObject Type="Embed" ProgID="Equation.3" ShapeID="_x0000_i1070" DrawAspect="Content" ObjectID="_1536790554" r:id="rId82"/>
              </w:object>
            </w:r>
          </w:p>
        </w:tc>
        <w:tc>
          <w:tcPr>
            <w:tcW w:w="0" w:type="auto"/>
            <w:tcBorders>
              <w:top w:val="single" w:sz="4" w:space="0" w:color="auto"/>
              <w:left w:val="single" w:sz="4" w:space="0" w:color="auto"/>
              <w:bottom w:val="single" w:sz="4" w:space="0" w:color="auto"/>
              <w:right w:val="single" w:sz="4" w:space="0" w:color="auto"/>
            </w:tcBorders>
            <w:vAlign w:val="center"/>
          </w:tcPr>
          <w:p w14:paraId="673B74F9"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52874325">
                <v:shape id="_x0000_i1071" type="#_x0000_t75" style="width:35.15pt;height:18.85pt" o:ole="">
                  <v:imagedata r:id="rId63" o:title=""/>
                </v:shape>
                <o:OLEObject Type="Embed" ProgID="Equation.3" ShapeID="_x0000_i1071" DrawAspect="Content" ObjectID="_1536790555"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6F036E83"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2A27C593">
                <v:shape id="_x0000_i1072" type="#_x0000_t75" style="width:35.15pt;height:18.85pt" o:ole="">
                  <v:imagedata r:id="rId63" o:title=""/>
                </v:shape>
                <o:OLEObject Type="Embed" ProgID="Equation.3" ShapeID="_x0000_i1072" DrawAspect="Content" ObjectID="_1536790556" r:id="rId84"/>
              </w:object>
            </w:r>
          </w:p>
        </w:tc>
        <w:tc>
          <w:tcPr>
            <w:tcW w:w="0" w:type="auto"/>
            <w:tcBorders>
              <w:top w:val="single" w:sz="4" w:space="0" w:color="auto"/>
              <w:left w:val="single" w:sz="4" w:space="0" w:color="auto"/>
              <w:bottom w:val="single" w:sz="4" w:space="0" w:color="auto"/>
              <w:right w:val="single" w:sz="4" w:space="0" w:color="auto"/>
            </w:tcBorders>
            <w:vAlign w:val="center"/>
          </w:tcPr>
          <w:p w14:paraId="71B393AB"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52D357CA">
                <v:shape id="_x0000_i1073" type="#_x0000_t75" style="width:35.15pt;height:18.85pt" o:ole="">
                  <v:imagedata r:id="rId63" o:title=""/>
                </v:shape>
                <o:OLEObject Type="Embed" ProgID="Equation.3" ShapeID="_x0000_i1073" DrawAspect="Content" ObjectID="_1536790557" r:id="rId85"/>
              </w:object>
            </w:r>
          </w:p>
        </w:tc>
      </w:tr>
      <w:tr w:rsidR="00167411" w14:paraId="269EB8CB"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3BDA5A"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110</w:t>
            </w:r>
          </w:p>
        </w:tc>
        <w:tc>
          <w:tcPr>
            <w:tcW w:w="0" w:type="auto"/>
            <w:tcBorders>
              <w:top w:val="single" w:sz="4" w:space="0" w:color="auto"/>
              <w:left w:val="single" w:sz="4" w:space="0" w:color="auto"/>
              <w:bottom w:val="single" w:sz="4" w:space="0" w:color="auto"/>
              <w:right w:val="single" w:sz="4" w:space="0" w:color="auto"/>
            </w:tcBorders>
            <w:vAlign w:val="center"/>
          </w:tcPr>
          <w:p w14:paraId="48346F49"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E9E0D07"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14:paraId="3066804A"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75459F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2A0B6232"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10DBD3DA">
                <v:shape id="_x0000_i1074" type="#_x0000_t75" style="width:35.15pt;height:18.85pt" o:ole="">
                  <v:imagedata r:id="rId63" o:title=""/>
                </v:shape>
                <o:OLEObject Type="Embed" ProgID="Equation.3" ShapeID="_x0000_i1074" DrawAspect="Content" ObjectID="_1536790558" r:id="rId86"/>
              </w:object>
            </w:r>
          </w:p>
        </w:tc>
        <w:tc>
          <w:tcPr>
            <w:tcW w:w="0" w:type="auto"/>
            <w:tcBorders>
              <w:top w:val="single" w:sz="4" w:space="0" w:color="auto"/>
              <w:left w:val="single" w:sz="4" w:space="0" w:color="auto"/>
              <w:bottom w:val="single" w:sz="4" w:space="0" w:color="auto"/>
              <w:right w:val="single" w:sz="4" w:space="0" w:color="auto"/>
            </w:tcBorders>
            <w:vAlign w:val="center"/>
          </w:tcPr>
          <w:p w14:paraId="11C2E45F"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5C5B0226">
                <v:shape id="_x0000_i1075" type="#_x0000_t75" style="width:35.15pt;height:18.85pt" o:ole="">
                  <v:imagedata r:id="rId63" o:title=""/>
                </v:shape>
                <o:OLEObject Type="Embed" ProgID="Equation.3" ShapeID="_x0000_i1075" DrawAspect="Content" ObjectID="_1536790559" r:id="rId87"/>
              </w:object>
            </w:r>
          </w:p>
        </w:tc>
        <w:tc>
          <w:tcPr>
            <w:tcW w:w="0" w:type="auto"/>
            <w:tcBorders>
              <w:top w:val="single" w:sz="4" w:space="0" w:color="auto"/>
              <w:left w:val="single" w:sz="4" w:space="0" w:color="auto"/>
              <w:bottom w:val="single" w:sz="4" w:space="0" w:color="auto"/>
              <w:right w:val="single" w:sz="4" w:space="0" w:color="auto"/>
            </w:tcBorders>
            <w:vAlign w:val="center"/>
          </w:tcPr>
          <w:p w14:paraId="7CBFB992"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2A6E4F3C">
                <v:shape id="_x0000_i1076" type="#_x0000_t75" style="width:35.15pt;height:18.85pt" o:ole="">
                  <v:imagedata r:id="rId63" o:title=""/>
                </v:shape>
                <o:OLEObject Type="Embed" ProgID="Equation.3" ShapeID="_x0000_i1076" DrawAspect="Content" ObjectID="_1536790560" r:id="rId88"/>
              </w:object>
            </w:r>
          </w:p>
        </w:tc>
        <w:tc>
          <w:tcPr>
            <w:tcW w:w="0" w:type="auto"/>
            <w:tcBorders>
              <w:top w:val="single" w:sz="4" w:space="0" w:color="auto"/>
              <w:left w:val="single" w:sz="4" w:space="0" w:color="auto"/>
              <w:bottom w:val="single" w:sz="4" w:space="0" w:color="auto"/>
              <w:right w:val="single" w:sz="4" w:space="0" w:color="auto"/>
            </w:tcBorders>
            <w:vAlign w:val="center"/>
          </w:tcPr>
          <w:p w14:paraId="623F048E"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64E28C0F">
                <v:shape id="_x0000_i1077" type="#_x0000_t75" style="width:35.15pt;height:18.85pt" o:ole="">
                  <v:imagedata r:id="rId63" o:title=""/>
                </v:shape>
                <o:OLEObject Type="Embed" ProgID="Equation.3" ShapeID="_x0000_i1077" DrawAspect="Content" ObjectID="_1536790561" r:id="rId89"/>
              </w:object>
            </w:r>
          </w:p>
        </w:tc>
      </w:tr>
      <w:tr w:rsidR="00167411" w14:paraId="25E92672" w14:textId="77777777" w:rsidTr="00BF1B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240B3B"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111</w:t>
            </w:r>
          </w:p>
        </w:tc>
        <w:tc>
          <w:tcPr>
            <w:tcW w:w="0" w:type="auto"/>
            <w:tcBorders>
              <w:top w:val="single" w:sz="4" w:space="0" w:color="auto"/>
              <w:left w:val="single" w:sz="4" w:space="0" w:color="auto"/>
              <w:bottom w:val="single" w:sz="4" w:space="0" w:color="auto"/>
              <w:right w:val="single" w:sz="4" w:space="0" w:color="auto"/>
            </w:tcBorders>
            <w:vAlign w:val="center"/>
          </w:tcPr>
          <w:p w14:paraId="2BCF94DA"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9</w:t>
            </w:r>
          </w:p>
        </w:tc>
        <w:tc>
          <w:tcPr>
            <w:tcW w:w="0" w:type="auto"/>
            <w:tcBorders>
              <w:top w:val="single" w:sz="4" w:space="0" w:color="auto"/>
              <w:left w:val="single" w:sz="4" w:space="0" w:color="auto"/>
              <w:bottom w:val="single" w:sz="4" w:space="0" w:color="auto"/>
              <w:right w:val="single" w:sz="4" w:space="0" w:color="auto"/>
            </w:tcBorders>
            <w:vAlign w:val="center"/>
          </w:tcPr>
          <w:p w14:paraId="558E2E6F"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4A983DDA"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D89B2C1" w14:textId="77777777" w:rsidR="00167411" w:rsidRPr="005535FA" w:rsidRDefault="00167411" w:rsidP="00BF1BA4">
            <w:pPr>
              <w:pStyle w:val="TAC"/>
              <w:rPr>
                <w:rFonts w:ascii="Times New Roman" w:hAnsi="Times New Roman"/>
                <w:szCs w:val="18"/>
              </w:rPr>
            </w:pPr>
            <w:r w:rsidRPr="005535FA">
              <w:rPr>
                <w:rFonts w:ascii="Times New Roman" w:hAnsi="Times New Roman"/>
                <w:szCs w:val="18"/>
              </w:rPr>
              <w:t>6</w:t>
            </w:r>
          </w:p>
        </w:tc>
        <w:tc>
          <w:tcPr>
            <w:tcW w:w="0" w:type="auto"/>
            <w:tcBorders>
              <w:top w:val="single" w:sz="4" w:space="0" w:color="auto"/>
              <w:left w:val="single" w:sz="4" w:space="0" w:color="auto"/>
              <w:bottom w:val="single" w:sz="4" w:space="0" w:color="auto"/>
              <w:right w:val="single" w:sz="4" w:space="0" w:color="auto"/>
            </w:tcBorders>
            <w:vAlign w:val="center"/>
          </w:tcPr>
          <w:p w14:paraId="369B78CB"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6223FE6D">
                <v:shape id="_x0000_i1078" type="#_x0000_t75" style="width:27.45pt;height:18.85pt" o:ole="">
                  <v:imagedata r:id="rId60" o:title=""/>
                </v:shape>
                <o:OLEObject Type="Embed" ProgID="Equation.3" ShapeID="_x0000_i1078" DrawAspect="Content" ObjectID="_1536790562" r:id="rId90"/>
              </w:object>
            </w:r>
          </w:p>
        </w:tc>
        <w:tc>
          <w:tcPr>
            <w:tcW w:w="0" w:type="auto"/>
            <w:tcBorders>
              <w:top w:val="single" w:sz="4" w:space="0" w:color="auto"/>
              <w:left w:val="single" w:sz="4" w:space="0" w:color="auto"/>
              <w:bottom w:val="single" w:sz="4" w:space="0" w:color="auto"/>
              <w:right w:val="single" w:sz="4" w:space="0" w:color="auto"/>
            </w:tcBorders>
            <w:vAlign w:val="center"/>
          </w:tcPr>
          <w:p w14:paraId="0575E60E"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560" w:dyaOrig="360" w14:anchorId="19E499C8">
                <v:shape id="_x0000_i1079" type="#_x0000_t75" style="width:27.45pt;height:18.85pt" o:ole="">
                  <v:imagedata r:id="rId60" o:title=""/>
                </v:shape>
                <o:OLEObject Type="Embed" ProgID="Equation.3" ShapeID="_x0000_i1079" DrawAspect="Content" ObjectID="_1536790563" r:id="rId91"/>
              </w:object>
            </w:r>
          </w:p>
        </w:tc>
        <w:tc>
          <w:tcPr>
            <w:tcW w:w="0" w:type="auto"/>
            <w:tcBorders>
              <w:top w:val="single" w:sz="4" w:space="0" w:color="auto"/>
              <w:left w:val="single" w:sz="4" w:space="0" w:color="auto"/>
              <w:bottom w:val="single" w:sz="4" w:space="0" w:color="auto"/>
              <w:right w:val="single" w:sz="4" w:space="0" w:color="auto"/>
            </w:tcBorders>
            <w:vAlign w:val="center"/>
          </w:tcPr>
          <w:p w14:paraId="1707668E"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71EC3CA2">
                <v:shape id="_x0000_i1080" type="#_x0000_t75" style="width:35.15pt;height:18.85pt" o:ole="">
                  <v:imagedata r:id="rId63" o:title=""/>
                </v:shape>
                <o:OLEObject Type="Embed" ProgID="Equation.3" ShapeID="_x0000_i1080" DrawAspect="Content" ObjectID="_1536790564" r:id="rId92"/>
              </w:object>
            </w:r>
          </w:p>
        </w:tc>
        <w:tc>
          <w:tcPr>
            <w:tcW w:w="0" w:type="auto"/>
            <w:tcBorders>
              <w:top w:val="single" w:sz="4" w:space="0" w:color="auto"/>
              <w:left w:val="single" w:sz="4" w:space="0" w:color="auto"/>
              <w:bottom w:val="single" w:sz="4" w:space="0" w:color="auto"/>
              <w:right w:val="single" w:sz="4" w:space="0" w:color="auto"/>
            </w:tcBorders>
            <w:vAlign w:val="center"/>
          </w:tcPr>
          <w:p w14:paraId="11F6034C" w14:textId="77777777" w:rsidR="00167411" w:rsidRPr="005535FA" w:rsidRDefault="00167411" w:rsidP="00BF1BA4">
            <w:pPr>
              <w:pStyle w:val="TAC"/>
              <w:rPr>
                <w:rFonts w:ascii="Times New Roman" w:hAnsi="Times New Roman"/>
                <w:szCs w:val="18"/>
              </w:rPr>
            </w:pPr>
            <w:r w:rsidRPr="005535FA">
              <w:rPr>
                <w:rFonts w:ascii="Times New Roman" w:hAnsi="Times New Roman"/>
                <w:position w:val="-10"/>
                <w:szCs w:val="18"/>
              </w:rPr>
              <w:object w:dxaOrig="700" w:dyaOrig="360" w14:anchorId="0EDF0EC9">
                <v:shape id="_x0000_i1081" type="#_x0000_t75" style="width:35.15pt;height:18.85pt" o:ole="">
                  <v:imagedata r:id="rId63" o:title=""/>
                </v:shape>
                <o:OLEObject Type="Embed" ProgID="Equation.3" ShapeID="_x0000_i1081" DrawAspect="Content" ObjectID="_1536790565" r:id="rId93"/>
              </w:object>
            </w:r>
          </w:p>
        </w:tc>
      </w:tr>
    </w:tbl>
    <w:p w14:paraId="7C74A0DA" w14:textId="77777777" w:rsidR="00167411" w:rsidRDefault="00167411" w:rsidP="00167411"/>
    <w:p w14:paraId="0758A906" w14:textId="616AAFE3" w:rsidR="003C2DFF" w:rsidRDefault="00A249E0" w:rsidP="00EA0044">
      <w:r>
        <w:rPr>
          <w:lang w:eastAsia="ko-KR"/>
        </w:rPr>
        <w:t xml:space="preserve">As seen from the table, </w:t>
      </w:r>
      <w:r w:rsidRPr="00111DB1">
        <w:rPr>
          <w:position w:val="-14"/>
        </w:rPr>
        <w:object w:dxaOrig="700" w:dyaOrig="380" w14:anchorId="2BA78E37">
          <v:shape id="_x0000_i1082" type="#_x0000_t75" style="width:35.15pt;height:18.85pt" o:ole="">
            <v:imagedata r:id="rId38" o:title=""/>
          </v:shape>
          <o:OLEObject Type="Embed" ProgID="Equation.3" ShapeID="_x0000_i1082" DrawAspect="Content" ObjectID="_1536790566" r:id="rId94"/>
        </w:object>
      </w:r>
      <w:r>
        <w:t xml:space="preserve"> </w:t>
      </w:r>
      <w:r>
        <w:rPr>
          <w:lang w:eastAsia="ko-KR"/>
        </w:rPr>
        <w:t xml:space="preserve">is used to separate different layers in SU-MIMO and can be used to separate different MU-MIMO layers if the same bandwidth is scheduled.  OCC2 can be used to separate two UEs in MU-MIMO with different scheduling bandwidths. </w:t>
      </w:r>
      <w:r w:rsidR="00167411">
        <w:t xml:space="preserve">Figure 1 shows a time domain uplink channel impulse response associated with cyclic shift </w:t>
      </w:r>
      <w:r w:rsidR="00167411" w:rsidRPr="0010553D">
        <w:rPr>
          <w:position w:val="-14"/>
        </w:rPr>
        <w:object w:dxaOrig="840" w:dyaOrig="380" w14:anchorId="021088AF">
          <v:shape id="_x0000_i1083" type="#_x0000_t75" style="width:42pt;height:18.85pt" o:ole="">
            <v:imagedata r:id="rId95" o:title=""/>
          </v:shape>
          <o:OLEObject Type="Embed" ProgID="Equation.3" ShapeID="_x0000_i1083" DrawAspect="Content" ObjectID="_1536790567" r:id="rId96"/>
        </w:object>
      </w:r>
      <w:r w:rsidR="00167411">
        <w:t xml:space="preserve"> </w:t>
      </w:r>
      <w:r w:rsidR="00D0685E">
        <w:t xml:space="preserve">of a DMRS sequence with </w:t>
      </w:r>
      <w:r w:rsidR="00167411">
        <w:t>both RPF=1 and RPF=2.  With RPF=1, i.e. without IFDMA, each cyclic shift</w:t>
      </w:r>
      <w:r>
        <w:t xml:space="preserve"> value </w:t>
      </w:r>
      <w:r w:rsidR="00167411">
        <w:t xml:space="preserve"> </w:t>
      </w:r>
      <w:r w:rsidRPr="0010553D">
        <w:rPr>
          <w:position w:val="-14"/>
        </w:rPr>
        <w:object w:dxaOrig="1620" w:dyaOrig="380" w14:anchorId="3780D2B0">
          <v:shape id="_x0000_i1084" type="#_x0000_t75" style="width:81.45pt;height:18.85pt" o:ole="">
            <v:imagedata r:id="rId97" o:title=""/>
          </v:shape>
          <o:OLEObject Type="Embed" ProgID="Equation.3" ShapeID="_x0000_i1084" DrawAspect="Content" ObjectID="_1536790568" r:id="rId98"/>
        </w:object>
      </w:r>
      <w:r w:rsidR="00167411">
        <w:t>is associated with</w:t>
      </w:r>
      <w:r w:rsidR="00136639">
        <w:t xml:space="preserve"> a time period of 1/12</w:t>
      </w:r>
      <w:r w:rsidR="00136639" w:rsidRPr="0013555D">
        <w:rPr>
          <w:vertAlign w:val="superscript"/>
        </w:rPr>
        <w:t>th</w:t>
      </w:r>
      <w:r w:rsidR="00136639">
        <w:t xml:space="preserve"> </w:t>
      </w:r>
      <w:r w:rsidR="00D0685E">
        <w:t>of a SC-OFDM symbol or</w:t>
      </w:r>
      <w:r w:rsidR="00136639">
        <w:t xml:space="preserve"> about 5.56us.  So as long the channel delay spread </w:t>
      </w:r>
      <w:r>
        <w:t xml:space="preserve">plus timing offset </w:t>
      </w:r>
      <w:r w:rsidR="00136639">
        <w:t xml:space="preserve">is less than 5.56us, the channels associated with each of the </w:t>
      </w:r>
      <w:r w:rsidR="00AE3628">
        <w:t>twelve</w:t>
      </w:r>
      <w:r w:rsidR="00136639">
        <w:t xml:space="preserve"> cyclic shifts can be correctly estimated.</w:t>
      </w:r>
      <w:r>
        <w:t xml:space="preserve">  </w:t>
      </w:r>
    </w:p>
    <w:p w14:paraId="784BA4DD" w14:textId="0900BACF" w:rsidR="00A249E0" w:rsidRDefault="00A249E0" w:rsidP="003C2DFF">
      <w:pPr>
        <w:pStyle w:val="BodyText"/>
      </w:pPr>
    </w:p>
    <w:p w14:paraId="57F7A39F" w14:textId="77777777" w:rsidR="00A249E0" w:rsidRDefault="00A249E0" w:rsidP="00A249E0">
      <w:pPr>
        <w:pStyle w:val="BodyText"/>
        <w:jc w:val="center"/>
      </w:pPr>
      <w:r w:rsidRPr="003C2DFF">
        <w:rPr>
          <w:noProof/>
        </w:rPr>
        <w:drawing>
          <wp:inline distT="0" distB="0" distL="0" distR="0" wp14:anchorId="6E3213DA" wp14:editId="7A2DD3C7">
            <wp:extent cx="3603009" cy="21415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619646" cy="2151401"/>
                    </a:xfrm>
                    <a:prstGeom prst="rect">
                      <a:avLst/>
                    </a:prstGeom>
                    <a:noFill/>
                    <a:ln>
                      <a:noFill/>
                    </a:ln>
                  </pic:spPr>
                </pic:pic>
              </a:graphicData>
            </a:graphic>
          </wp:inline>
        </w:drawing>
      </w:r>
    </w:p>
    <w:p w14:paraId="524CFA7B" w14:textId="77777777" w:rsidR="00A249E0" w:rsidRDefault="00A249E0" w:rsidP="00A249E0">
      <w:pPr>
        <w:pStyle w:val="Caption"/>
        <w:jc w:val="center"/>
      </w:pPr>
      <w:bookmarkStart w:id="4" w:name="_Ref462937857"/>
      <w:r>
        <w:t xml:space="preserve">Figure </w:t>
      </w:r>
      <w:r>
        <w:fldChar w:fldCharType="begin"/>
      </w:r>
      <w:r>
        <w:instrText xml:space="preserve"> SEQ Figure \* ARABIC </w:instrText>
      </w:r>
      <w:r>
        <w:fldChar w:fldCharType="separate"/>
      </w:r>
      <w:r>
        <w:rPr>
          <w:noProof/>
        </w:rPr>
        <w:t>1</w:t>
      </w:r>
      <w:r>
        <w:fldChar w:fldCharType="end"/>
      </w:r>
      <w:bookmarkEnd w:id="4"/>
      <w:r>
        <w:t>: Time domain channel estimation window with different cyclic shifts for RPF=1 and RPF=2</w:t>
      </w:r>
    </w:p>
    <w:p w14:paraId="7C0B48E0" w14:textId="77777777" w:rsidR="00A249E0" w:rsidRDefault="00A249E0" w:rsidP="003C2DFF">
      <w:pPr>
        <w:pStyle w:val="BodyText"/>
      </w:pPr>
    </w:p>
    <w:p w14:paraId="67567BB5" w14:textId="433FD588" w:rsidR="0069366E" w:rsidRDefault="00ED7708" w:rsidP="003C2DFF">
      <w:pPr>
        <w:pStyle w:val="BodyText"/>
      </w:pPr>
      <w:r>
        <w:t>W</w:t>
      </w:r>
      <w:r w:rsidR="003C2DFF">
        <w:t xml:space="preserve">ith RPF=2, </w:t>
      </w:r>
      <w:r w:rsidR="00D0685E">
        <w:t xml:space="preserve">time domain alias </w:t>
      </w:r>
      <w:r w:rsidR="003C2DFF">
        <w:t>appear</w:t>
      </w:r>
      <w:r w:rsidR="00D0685E">
        <w:t>s</w:t>
      </w:r>
      <w:r w:rsidR="003C2DFF">
        <w:t xml:space="preserve"> </w:t>
      </w:r>
      <w:r>
        <w:t xml:space="preserve">within a SC-OFDM symbol period </w:t>
      </w:r>
      <w:r w:rsidR="00A249E0">
        <w:t xml:space="preserve">as shown in </w:t>
      </w:r>
      <w:r w:rsidR="00A249E0">
        <w:fldChar w:fldCharType="begin"/>
      </w:r>
      <w:r w:rsidR="00A249E0">
        <w:instrText xml:space="preserve"> REF _Ref462937857 \h </w:instrText>
      </w:r>
      <w:r w:rsidR="00A249E0">
        <w:fldChar w:fldCharType="separate"/>
      </w:r>
      <w:r w:rsidR="00A249E0">
        <w:t xml:space="preserve">Figure </w:t>
      </w:r>
      <w:r w:rsidR="00A249E0">
        <w:rPr>
          <w:noProof/>
        </w:rPr>
        <w:t>1</w:t>
      </w:r>
      <w:r w:rsidR="00A249E0">
        <w:fldChar w:fldCharType="end"/>
      </w:r>
      <w:r w:rsidR="00A249E0">
        <w:t xml:space="preserve">(b) </w:t>
      </w:r>
      <w:r w:rsidR="003C2DFF">
        <w:t xml:space="preserve">and </w:t>
      </w:r>
      <w:r w:rsidR="00D0685E">
        <w:t xml:space="preserve">only half of a symbol period is useful for channel estimation. </w:t>
      </w:r>
      <w:r w:rsidR="00A249E0">
        <w:t xml:space="preserve">With the same definition </w:t>
      </w:r>
      <w:r w:rsidR="002E6DA9">
        <w:t>of cyclic</w:t>
      </w:r>
      <w:r w:rsidR="00A249E0">
        <w:t xml:space="preserve"> shift, i.e. </w:t>
      </w:r>
      <w:r w:rsidR="00A249E0" w:rsidRPr="00111DB1">
        <w:rPr>
          <w:position w:val="-12"/>
        </w:rPr>
        <w:object w:dxaOrig="1359" w:dyaOrig="320" w14:anchorId="6E148A65">
          <v:shape id="_x0000_i1085" type="#_x0000_t75" style="width:68.55pt;height:15.45pt" o:ole="">
            <v:imagedata r:id="rId30" o:title=""/>
          </v:shape>
          <o:OLEObject Type="Embed" ProgID="Equation.3" ShapeID="_x0000_i1085" DrawAspect="Content" ObjectID="_1536790569" r:id="rId100"/>
        </w:object>
      </w:r>
      <w:r w:rsidR="00A249E0">
        <w:t>, t</w:t>
      </w:r>
      <w:r w:rsidR="003C2DFF">
        <w:t xml:space="preserve">he time separation between different cyclic shifts </w:t>
      </w:r>
      <w:r w:rsidR="00D0685E">
        <w:t xml:space="preserve">in this case </w:t>
      </w:r>
      <w:r>
        <w:t xml:space="preserve">is reduced by half, or about 2.78us. </w:t>
      </w:r>
      <w:r w:rsidR="008A3C47">
        <w:t xml:space="preserve"> With cyclic shift configurations given by Table 5.5.2.1.1-1, </w:t>
      </w:r>
      <w:r w:rsidR="00D0685E">
        <w:t xml:space="preserve">the minimum cyclic shift index </w:t>
      </w:r>
      <w:r w:rsidR="00AE3628">
        <w:t>separation</w:t>
      </w:r>
      <w:r w:rsidR="00D0685E">
        <w:t xml:space="preserve"> between SU-MMIO layers is 3, i.e. about 16.67us for RPF=1 and 8.3</w:t>
      </w:r>
      <w:bookmarkStart w:id="5" w:name="_GoBack"/>
      <w:bookmarkEnd w:id="5"/>
      <w:r w:rsidR="00D0685E">
        <w:t xml:space="preserve">3us for RPF=2.  So for RPF=2, there is </w:t>
      </w:r>
      <w:r w:rsidR="00A249E0">
        <w:t xml:space="preserve">a </w:t>
      </w:r>
      <w:r w:rsidR="00D0685E">
        <w:t xml:space="preserve">smaller separation between layers but it </w:t>
      </w:r>
      <w:r w:rsidR="00D0685E">
        <w:lastRenderedPageBreak/>
        <w:t xml:space="preserve">is still large </w:t>
      </w:r>
      <w:r w:rsidR="00A249E0">
        <w:t>enough in general for correct channel estimation on different layers</w:t>
      </w:r>
      <w:r w:rsidR="00D0685E">
        <w:t xml:space="preserve">.  </w:t>
      </w:r>
      <w:r w:rsidR="00A249E0">
        <w:t xml:space="preserve">Therefore, up to four </w:t>
      </w:r>
      <w:r w:rsidR="00AE3628">
        <w:t xml:space="preserve">SU-MIMO </w:t>
      </w:r>
      <w:r w:rsidR="00A249E0">
        <w:t>layers can still be supported on each subcarrier set when RPF=2 is configured.</w:t>
      </w:r>
    </w:p>
    <w:p w14:paraId="4B8038C7" w14:textId="02EF9595" w:rsidR="003C2DFF" w:rsidRDefault="0069366E" w:rsidP="003C2DFF">
      <w:pPr>
        <w:pStyle w:val="BodyText"/>
      </w:pPr>
      <w:r>
        <w:t xml:space="preserve">For MU-MIMO pairing </w:t>
      </w:r>
      <w:r w:rsidR="00E0137C">
        <w:t xml:space="preserve">between </w:t>
      </w:r>
      <w:r>
        <w:t>new UEs</w:t>
      </w:r>
      <w:r w:rsidR="00E0137C">
        <w:t xml:space="preserve"> </w:t>
      </w:r>
      <w:r w:rsidR="00AE3628">
        <w:t>configured</w:t>
      </w:r>
      <w:r w:rsidR="00E0137C">
        <w:t xml:space="preserve"> with </w:t>
      </w:r>
      <w:r w:rsidR="00A249E0">
        <w:t xml:space="preserve">RPF=2 and with different scheduling </w:t>
      </w:r>
      <w:r w:rsidR="002E6DA9">
        <w:t>BWs, UEs</w:t>
      </w:r>
      <w:r w:rsidR="00D56C0A">
        <w:t xml:space="preserve"> </w:t>
      </w:r>
      <w:r w:rsidR="00A249E0">
        <w:t xml:space="preserve">may </w:t>
      </w:r>
      <w:r w:rsidR="00D56C0A">
        <w:t>be separated by using different OCC2 and</w:t>
      </w:r>
      <w:r w:rsidR="00A249E0">
        <w:t xml:space="preserve">/or different sets </w:t>
      </w:r>
      <w:r w:rsidR="002E6DA9">
        <w:t>of subcarriers</w:t>
      </w:r>
      <w:r w:rsidR="00D56C0A">
        <w:t>.  Therefore, the existing cyclic shift indices (0 to 11) can still be used when IFDMA is configured for DMRS with RPF=2.</w:t>
      </w:r>
    </w:p>
    <w:p w14:paraId="5E3B15A3" w14:textId="77777777" w:rsidR="00A249E0" w:rsidRPr="0013555D" w:rsidRDefault="00A249E0" w:rsidP="00A249E0">
      <w:pPr>
        <w:rPr>
          <w:b/>
          <w:i/>
          <w:lang w:val="sv-SE" w:eastAsia="ja-JP"/>
        </w:rPr>
      </w:pPr>
      <w:r w:rsidRPr="0013555D">
        <w:rPr>
          <w:b/>
          <w:i/>
          <w:lang w:val="sv-SE" w:eastAsia="ja-JP"/>
        </w:rPr>
        <w:t xml:space="preserve">Observation 1:  </w:t>
      </w:r>
    </w:p>
    <w:p w14:paraId="1BB9E56F" w14:textId="0A739E1A" w:rsidR="00A249E0" w:rsidRPr="0013555D" w:rsidRDefault="00A249E0" w:rsidP="00A249E0">
      <w:pPr>
        <w:pStyle w:val="ListParagraph"/>
        <w:numPr>
          <w:ilvl w:val="0"/>
          <w:numId w:val="52"/>
        </w:numPr>
        <w:rPr>
          <w:rFonts w:ascii="Times New Roman" w:hAnsi="Times New Roman" w:cs="Times New Roman"/>
          <w:i/>
          <w:sz w:val="20"/>
          <w:szCs w:val="20"/>
          <w:lang w:val="sv-SE" w:eastAsia="ja-JP"/>
        </w:rPr>
      </w:pPr>
      <w:r w:rsidRPr="0013555D">
        <w:rPr>
          <w:rFonts w:ascii="Times New Roman" w:hAnsi="Times New Roman" w:cs="Times New Roman"/>
          <w:i/>
          <w:sz w:val="20"/>
          <w:szCs w:val="20"/>
          <w:lang w:val="sv-SE" w:eastAsia="ja-JP"/>
        </w:rPr>
        <w:t>The minimum separations between DMRS sequences with RPF=2 is reduced by half of that with RPF=1. However, the minimum  separation between different MIMO layers is still about 8.33us, which is still good for channel estimation on different layers</w:t>
      </w:r>
    </w:p>
    <w:p w14:paraId="45A39749" w14:textId="24D7A5BA" w:rsidR="00A249E0" w:rsidRPr="0013555D" w:rsidRDefault="00A249E0" w:rsidP="00A249E0">
      <w:pPr>
        <w:pStyle w:val="ListParagraph"/>
        <w:numPr>
          <w:ilvl w:val="0"/>
          <w:numId w:val="52"/>
        </w:numPr>
        <w:rPr>
          <w:rFonts w:ascii="Times New Roman" w:hAnsi="Times New Roman" w:cs="Times New Roman"/>
          <w:i/>
          <w:sz w:val="20"/>
          <w:szCs w:val="20"/>
          <w:lang w:val="sv-SE" w:eastAsia="ja-JP"/>
        </w:rPr>
      </w:pPr>
      <w:r w:rsidRPr="0013555D">
        <w:rPr>
          <w:rFonts w:ascii="Times New Roman" w:hAnsi="Times New Roman" w:cs="Times New Roman"/>
          <w:i/>
          <w:sz w:val="20"/>
          <w:szCs w:val="20"/>
          <w:lang w:val="sv-SE" w:eastAsia="ja-JP"/>
        </w:rPr>
        <w:t>For UEs with RPF=2 and with different scheduling BWs,  OCC2 and/or subcarrier set can be used for UE separation</w:t>
      </w:r>
    </w:p>
    <w:p w14:paraId="2FEF9BB2" w14:textId="77777777" w:rsidR="00A249E0" w:rsidRDefault="00A249E0" w:rsidP="00A249E0">
      <w:pPr>
        <w:rPr>
          <w:szCs w:val="20"/>
          <w:lang w:val="sv-SE" w:eastAsia="ja-JP"/>
        </w:rPr>
      </w:pPr>
    </w:p>
    <w:p w14:paraId="58286F33" w14:textId="77777777" w:rsidR="002E6DA9" w:rsidRDefault="002E6DA9" w:rsidP="00EA0044">
      <w:pPr>
        <w:ind w:left="1304" w:hanging="1304"/>
        <w:rPr>
          <w:i/>
          <w:szCs w:val="20"/>
          <w:lang w:val="sv-SE" w:eastAsia="ja-JP"/>
        </w:rPr>
      </w:pPr>
      <w:r w:rsidRPr="00EF42E3">
        <w:rPr>
          <w:b/>
          <w:i/>
          <w:szCs w:val="20"/>
          <w:lang w:val="sv-SE" w:eastAsia="ja-JP"/>
        </w:rPr>
        <w:t xml:space="preserve">Proposal </w:t>
      </w:r>
      <w:r>
        <w:rPr>
          <w:b/>
          <w:i/>
          <w:szCs w:val="20"/>
          <w:lang w:val="sv-SE" w:eastAsia="ja-JP"/>
        </w:rPr>
        <w:t xml:space="preserve"> </w:t>
      </w:r>
      <w:r w:rsidRPr="00EF42E3">
        <w:rPr>
          <w:b/>
          <w:i/>
          <w:szCs w:val="20"/>
          <w:lang w:val="sv-SE" w:eastAsia="ja-JP"/>
        </w:rPr>
        <w:t>1:</w:t>
      </w:r>
      <w:r>
        <w:rPr>
          <w:b/>
          <w:szCs w:val="20"/>
          <w:lang w:val="sv-SE" w:eastAsia="ja-JP"/>
        </w:rPr>
        <w:t xml:space="preserve">  </w:t>
      </w:r>
      <w:r w:rsidRPr="00EF42E3">
        <w:rPr>
          <w:i/>
          <w:szCs w:val="20"/>
          <w:lang w:val="sv-SE" w:eastAsia="ja-JP"/>
        </w:rPr>
        <w:t xml:space="preserve">The existing  cyclic shift definition and range can also be used for </w:t>
      </w:r>
      <w:r>
        <w:rPr>
          <w:i/>
          <w:szCs w:val="20"/>
          <w:lang w:val="sv-SE" w:eastAsia="ja-JP"/>
        </w:rPr>
        <w:t xml:space="preserve">UL DMRA with IFDMA and </w:t>
      </w:r>
      <w:r w:rsidRPr="00EF42E3">
        <w:rPr>
          <w:i/>
          <w:szCs w:val="20"/>
          <w:lang w:val="sv-SE" w:eastAsia="ja-JP"/>
        </w:rPr>
        <w:t>RPF=2</w:t>
      </w:r>
    </w:p>
    <w:p w14:paraId="6F9C52FF" w14:textId="47800682" w:rsidR="00A249E0" w:rsidRDefault="00A249E0" w:rsidP="0013555D">
      <w:pPr>
        <w:pStyle w:val="Heading2"/>
      </w:pPr>
      <w:r>
        <w:t>Pairing UEs with RPF=2 and legacy UEs</w:t>
      </w:r>
    </w:p>
    <w:p w14:paraId="2AB045BC" w14:textId="364131E3" w:rsidR="0069366E" w:rsidRDefault="0069366E" w:rsidP="003C2DFF">
      <w:pPr>
        <w:pStyle w:val="BodyText"/>
      </w:pPr>
      <w:r>
        <w:t>For MU-MIMO pairing between a new</w:t>
      </w:r>
      <w:r w:rsidR="00A249E0">
        <w:t xml:space="preserve"> UE with RPF=2 </w:t>
      </w:r>
      <w:r>
        <w:t xml:space="preserve">and a legacy UEs, only OCC2 </w:t>
      </w:r>
      <w:r w:rsidR="00A249E0">
        <w:t>could possibly</w:t>
      </w:r>
      <w:r>
        <w:t xml:space="preserve"> be used to provide isolation between the two UEs. </w:t>
      </w:r>
      <w:r w:rsidR="00A249E0">
        <w:t xml:space="preserve">However, due to the cyclic shift hoping between slots with </w:t>
      </w:r>
      <w:r w:rsidR="00A249E0" w:rsidRPr="00E57B81">
        <w:rPr>
          <w:position w:val="-10"/>
        </w:rPr>
        <w:object w:dxaOrig="720" w:dyaOrig="300" w14:anchorId="50E24F11">
          <v:shape id="_x0000_i1086" type="#_x0000_t75" style="width:36.85pt;height:15.45pt" o:ole="">
            <v:imagedata r:id="rId36" o:title=""/>
          </v:shape>
          <o:OLEObject Type="Embed" ProgID="Equation.3" ShapeID="_x0000_i1086" DrawAspect="Content" ObjectID="_1536790570" r:id="rId101"/>
        </w:object>
      </w:r>
      <w:r w:rsidR="00A249E0">
        <w:t xml:space="preserve">, there is a phase offset between the DMRS reference signals in two slots of a subframe. For OCC2 to work, the offsets need to be the same for the two UEs. The offsets are always the same for different UEs when the UEs have the same RPF configured. But when two UEs are configured with different RPF values, the offsets will be different on some subcarriers when the same reference signal sequence definition </w:t>
      </w:r>
      <w:r w:rsidR="00A249E0" w:rsidRPr="00EF42E3">
        <w:rPr>
          <w:position w:val="-14"/>
        </w:rPr>
        <w:object w:dxaOrig="2020" w:dyaOrig="400" w14:anchorId="0AC813FA">
          <v:shape id="_x0000_i1087" type="#_x0000_t75" style="width:101.15pt;height:20.55pt" o:ole="">
            <v:imagedata r:id="rId102" o:title=""/>
          </v:shape>
          <o:OLEObject Type="Embed" ProgID="Equation.3" ShapeID="_x0000_i1087" DrawAspect="Content" ObjectID="_1536790571" r:id="rId103"/>
        </w:object>
      </w:r>
      <w:r w:rsidR="00A249E0">
        <w:t xml:space="preserve">is used.  A solution was proposed in </w:t>
      </w:r>
      <w:r w:rsidR="00A249E0">
        <w:fldChar w:fldCharType="begin"/>
      </w:r>
      <w:r w:rsidR="00A249E0">
        <w:instrText xml:space="preserve"> REF _Ref461715497 \r \h </w:instrText>
      </w:r>
      <w:r w:rsidR="00A249E0">
        <w:fldChar w:fldCharType="separate"/>
      </w:r>
      <w:r w:rsidR="00A249E0">
        <w:t>[3]</w:t>
      </w:r>
      <w:r w:rsidR="00A249E0">
        <w:fldChar w:fldCharType="end"/>
      </w:r>
      <w:r w:rsidR="00A249E0">
        <w:t>, but unfortunately it doesn’t solve the problem.</w:t>
      </w:r>
    </w:p>
    <w:p w14:paraId="513610AD" w14:textId="3C4A1A12" w:rsidR="00A249E0" w:rsidRDefault="00A249E0" w:rsidP="003C2DFF">
      <w:pPr>
        <w:pStyle w:val="BodyText"/>
      </w:pPr>
      <w:r>
        <w:t xml:space="preserve">One possible solution is to redefine the reference signal sequence for RPF=2 as </w:t>
      </w:r>
      <w:r w:rsidRPr="00EF42E3">
        <w:rPr>
          <w:position w:val="-14"/>
        </w:rPr>
        <w:object w:dxaOrig="2120" w:dyaOrig="400" w14:anchorId="22325419">
          <v:shape id="_x0000_i1088" type="#_x0000_t75" style="width:105.45pt;height:20.55pt" o:ole="">
            <v:imagedata r:id="rId104" o:title=""/>
          </v:shape>
          <o:OLEObject Type="Embed" ProgID="Equation.3" ShapeID="_x0000_i1088" DrawAspect="Content" ObjectID="_1536790572" r:id="rId105"/>
        </w:object>
      </w:r>
      <w:r>
        <w:t xml:space="preserve"> for even numbered subcarriers and as </w:t>
      </w:r>
      <w:r w:rsidRPr="00EF42E3">
        <w:rPr>
          <w:position w:val="-14"/>
        </w:rPr>
        <w:object w:dxaOrig="2360" w:dyaOrig="400" w14:anchorId="20BBC96C">
          <v:shape id="_x0000_i1089" type="#_x0000_t75" style="width:117.45pt;height:20.55pt" o:ole="">
            <v:imagedata r:id="rId106" o:title=""/>
          </v:shape>
          <o:OLEObject Type="Embed" ProgID="Equation.3" ShapeID="_x0000_i1089" DrawAspect="Content" ObjectID="_1536790573" r:id="rId107"/>
        </w:object>
      </w:r>
      <w:r>
        <w:t xml:space="preserve"> for odd numbered subcarriers.  This would make the phase offsets the same for UEs with RPF=2 and legacy UEs on each set of subcarriers. However, the effective range of </w:t>
      </w:r>
      <m:oMath>
        <m:sSub>
          <m:sSubPr>
            <m:ctrlPr>
              <w:rPr>
                <w:rFonts w:ascii="Cambria Math" w:hAnsi="Cambria Math"/>
                <w:i/>
              </w:rPr>
            </m:ctrlPr>
          </m:sSubPr>
          <m:e>
            <m:r>
              <w:rPr>
                <w:rFonts w:ascii="Cambria Math" w:hAnsi="Cambria Math"/>
              </w:rPr>
              <m:t>α</m:t>
            </m:r>
          </m:e>
          <m:sub>
            <m:r>
              <w:rPr>
                <w:rFonts w:ascii="Cambria Math" w:hAnsi="Cambria Math"/>
              </w:rPr>
              <m:t>λ</m:t>
            </m:r>
          </m:sub>
        </m:sSub>
      </m:oMath>
      <w:r>
        <w:t xml:space="preserve"> would be reduced because in this case </w:t>
      </w:r>
      <w:r w:rsidRPr="00EF42E3">
        <w:rPr>
          <w:position w:val="-14"/>
        </w:rPr>
        <w:object w:dxaOrig="440" w:dyaOrig="380" w14:anchorId="5658F0C2">
          <v:shape id="_x0000_i1090" type="#_x0000_t75" style="width:21.45pt;height:18.85pt" o:ole="">
            <v:imagedata r:id="rId108" o:title=""/>
          </v:shape>
          <o:OLEObject Type="Embed" ProgID="Equation.3" ShapeID="_x0000_i1090" DrawAspect="Content" ObjectID="_1536790574" r:id="rId109"/>
        </w:object>
      </w:r>
      <w:r>
        <w:t xml:space="preserve">=0 and  </w:t>
      </w:r>
      <w:r w:rsidRPr="00EF42E3">
        <w:rPr>
          <w:position w:val="-14"/>
        </w:rPr>
        <w:object w:dxaOrig="440" w:dyaOrig="380" w14:anchorId="5C2691F4">
          <v:shape id="_x0000_i1091" type="#_x0000_t75" style="width:21.45pt;height:18.85pt" o:ole="">
            <v:imagedata r:id="rId108" o:title=""/>
          </v:shape>
          <o:OLEObject Type="Embed" ProgID="Equation.3" ShapeID="_x0000_i1091" DrawAspect="Content" ObjectID="_1536790575" r:id="rId110"/>
        </w:object>
      </w:r>
      <w:r>
        <w:t xml:space="preserve">=6 would result in the same value for </w:t>
      </w:r>
      <w:r w:rsidRPr="00EF42E3">
        <w:rPr>
          <w:position w:val="-6"/>
        </w:rPr>
        <w:object w:dxaOrig="600" w:dyaOrig="320" w14:anchorId="537AF7D2">
          <v:shape id="_x0000_i1092" type="#_x0000_t75" style="width:30pt;height:15.45pt" o:ole="">
            <v:imagedata r:id="rId111" o:title=""/>
          </v:shape>
          <o:OLEObject Type="Embed" ProgID="Equation.3" ShapeID="_x0000_i1092" DrawAspect="Content" ObjectID="_1536790576" r:id="rId112"/>
        </w:object>
      </w:r>
      <w:r>
        <w:t xml:space="preserve">and thus </w:t>
      </w:r>
      <w:r w:rsidRPr="00EF42E3">
        <w:rPr>
          <w:position w:val="-14"/>
        </w:rPr>
        <w:object w:dxaOrig="2120" w:dyaOrig="400" w14:anchorId="682CFD2C">
          <v:shape id="_x0000_i1093" type="#_x0000_t75" style="width:105.45pt;height:20.55pt" o:ole="">
            <v:imagedata r:id="rId104" o:title=""/>
          </v:shape>
          <o:OLEObject Type="Embed" ProgID="Equation.3" ShapeID="_x0000_i1093" DrawAspect="Content" ObjectID="_1536790577" r:id="rId113"/>
        </w:object>
      </w:r>
      <w:r>
        <w:t xml:space="preserve">. As a result, the cyclic shift entries of Table 5.5.2.1.1-1 need to be modified for RPF=2, </w:t>
      </w:r>
      <w:r w:rsidR="007B54C9">
        <w:t>otherwise</w:t>
      </w:r>
      <w:r>
        <w:t xml:space="preserve">, </w:t>
      </w:r>
      <w:r w:rsidRPr="00111DB1">
        <w:rPr>
          <w:position w:val="-14"/>
        </w:rPr>
        <w:object w:dxaOrig="700" w:dyaOrig="380" w14:anchorId="2735DC88">
          <v:shape id="_x0000_i1094" type="#_x0000_t75" style="width:35.15pt;height:18.85pt" o:ole="">
            <v:imagedata r:id="rId44" o:title=""/>
          </v:shape>
          <o:OLEObject Type="Embed" ProgID="Equation.3" ShapeID="_x0000_i1094" DrawAspect="Content" ObjectID="_1536790578" r:id="rId114"/>
        </w:object>
      </w:r>
      <w:r>
        <w:t xml:space="preserve">=0 and 6 would cause the same reference signal to be used for two MIMO layers, </w:t>
      </w:r>
    </w:p>
    <w:p w14:paraId="4566B94C" w14:textId="74E5F1E5" w:rsidR="00A249E0" w:rsidRDefault="00A249E0" w:rsidP="003C2DFF">
      <w:pPr>
        <w:pStyle w:val="BodyText"/>
      </w:pPr>
      <w:r>
        <w:t>On the other hand, with dynamic switching between RPF=2 and RPF=1</w:t>
      </w:r>
      <w:r w:rsidR="002C3141">
        <w:t xml:space="preserve"> as discussed in a companion paper </w:t>
      </w:r>
      <w:r w:rsidR="002C3141">
        <w:fldChar w:fldCharType="begin"/>
      </w:r>
      <w:r w:rsidR="002C3141">
        <w:instrText xml:space="preserve"> REF _Ref462951896 \r \h </w:instrText>
      </w:r>
      <w:r w:rsidR="002C3141">
        <w:fldChar w:fldCharType="separate"/>
      </w:r>
      <w:r w:rsidR="002C3141">
        <w:t>[5]</w:t>
      </w:r>
      <w:r w:rsidR="002C3141">
        <w:fldChar w:fldCharType="end"/>
      </w:r>
      <w:r>
        <w:t>,  the new UE can always be switched to use RPF=1 for pairing with a legacy UE. The only benefit of allowing pairing a new UE with RPF=2 and a legacy UE is that 2 new UEs, each on a different set of subcarriers, may be paired with a legacy UE.  But it is questionable how much system benefits this may bring.</w:t>
      </w:r>
    </w:p>
    <w:p w14:paraId="709F172E" w14:textId="4B5B8E8C" w:rsidR="00A249E0" w:rsidRDefault="00A249E0" w:rsidP="00EA0044">
      <w:pPr>
        <w:pStyle w:val="BodyText"/>
        <w:ind w:left="1304" w:hanging="1304"/>
      </w:pPr>
      <w:r w:rsidRPr="0013555D">
        <w:rPr>
          <w:b/>
          <w:i/>
        </w:rPr>
        <w:t>Observation 2:</w:t>
      </w:r>
      <w:r w:rsidRPr="0013555D">
        <w:rPr>
          <w:b/>
        </w:rPr>
        <w:t xml:space="preserve"> </w:t>
      </w:r>
      <w:r>
        <w:rPr>
          <w:b/>
        </w:rPr>
        <w:t xml:space="preserve"> </w:t>
      </w:r>
      <w:r w:rsidRPr="0013555D">
        <w:rPr>
          <w:i/>
        </w:rPr>
        <w:t xml:space="preserve">With dynamic indication of IFDMA </w:t>
      </w:r>
      <w:r w:rsidR="002C3141" w:rsidRPr="002C3141">
        <w:rPr>
          <w:i/>
        </w:rPr>
        <w:t>and legacy</w:t>
      </w:r>
      <w:r w:rsidRPr="0013555D">
        <w:rPr>
          <w:i/>
        </w:rPr>
        <w:t xml:space="preserve"> configuration of UL </w:t>
      </w:r>
      <w:r w:rsidR="005535FA" w:rsidRPr="0013555D">
        <w:rPr>
          <w:i/>
        </w:rPr>
        <w:t>DMRS, a</w:t>
      </w:r>
      <w:r w:rsidRPr="0013555D">
        <w:rPr>
          <w:i/>
        </w:rPr>
        <w:t xml:space="preserve"> new UE can always be switched to legacy DMRS for </w:t>
      </w:r>
      <w:r w:rsidR="00BC7111">
        <w:rPr>
          <w:i/>
        </w:rPr>
        <w:t xml:space="preserve">MU-MIMO </w:t>
      </w:r>
      <w:r w:rsidRPr="0013555D">
        <w:rPr>
          <w:i/>
        </w:rPr>
        <w:t>pairing with a legacy UE in a subframe by subframe basis if such a pairing is needed</w:t>
      </w:r>
      <w:r>
        <w:rPr>
          <w:i/>
        </w:rPr>
        <w:t>.</w:t>
      </w:r>
      <w:r w:rsidRPr="0013555D">
        <w:t xml:space="preserve"> </w:t>
      </w:r>
    </w:p>
    <w:p w14:paraId="7C82AA6E" w14:textId="1FD5B0AF" w:rsidR="002E6DA9" w:rsidRPr="00EF42E3" w:rsidRDefault="002E6DA9" w:rsidP="00EA0044">
      <w:pPr>
        <w:pStyle w:val="BodyText"/>
        <w:ind w:left="1304" w:hanging="1304"/>
        <w:rPr>
          <w:i/>
        </w:rPr>
      </w:pPr>
      <w:r>
        <w:rPr>
          <w:b/>
          <w:i/>
        </w:rPr>
        <w:t xml:space="preserve">Proposal </w:t>
      </w:r>
      <w:r w:rsidRPr="00EF42E3">
        <w:rPr>
          <w:b/>
          <w:i/>
        </w:rPr>
        <w:t>2:</w:t>
      </w:r>
      <w:r>
        <w:t xml:space="preserve"> </w:t>
      </w:r>
      <w:r w:rsidR="00EA0044">
        <w:tab/>
      </w:r>
      <w:r>
        <w:rPr>
          <w:i/>
        </w:rPr>
        <w:t xml:space="preserve">No change of </w:t>
      </w:r>
      <w:r w:rsidRPr="00EF42E3">
        <w:rPr>
          <w:i/>
        </w:rPr>
        <w:t>cyclic shift generation or DMRS reference signal sequence generation from the base sequences</w:t>
      </w:r>
      <w:r>
        <w:rPr>
          <w:i/>
        </w:rPr>
        <w:t xml:space="preserve"> for UL DMRS with IFDMA</w:t>
      </w:r>
    </w:p>
    <w:p w14:paraId="1A40CE34" w14:textId="476B235D" w:rsidR="00A249E0" w:rsidRDefault="00A249E0" w:rsidP="0013555D">
      <w:pPr>
        <w:pStyle w:val="Heading2"/>
      </w:pPr>
      <w:r>
        <w:t>Cyclic shift for length 6 sequences</w:t>
      </w:r>
    </w:p>
    <w:p w14:paraId="3C97E3BD" w14:textId="020C7228" w:rsidR="00A249E0" w:rsidRPr="00C53EC2" w:rsidRDefault="00D56C0A" w:rsidP="00A249E0">
      <w:pPr>
        <w:pStyle w:val="BodyText"/>
      </w:pPr>
      <w:r>
        <w:t xml:space="preserve">If the set of 14 sequences </w:t>
      </w:r>
      <w:r w:rsidR="003640FE">
        <w:t xml:space="preserve">and the </w:t>
      </w:r>
      <w:r w:rsidR="00A249E0">
        <w:t xml:space="preserve">associated </w:t>
      </w:r>
      <w:r w:rsidR="003640FE">
        <w:t xml:space="preserve">cyclic shifts </w:t>
      </w:r>
      <m:oMath>
        <m:r>
          <w:rPr>
            <w:rFonts w:ascii="Cambria Math" w:hAnsi="Cambria Math"/>
          </w:rPr>
          <m:t>α={0,1,2,4}</m:t>
        </m:r>
      </m:oMath>
      <w:r w:rsidR="003640FE">
        <w:t xml:space="preserve"> </w:t>
      </w:r>
      <w:r w:rsidR="00A249E0">
        <w:t xml:space="preserve">defined </w:t>
      </w:r>
      <w:r w:rsidR="003640FE">
        <w:t xml:space="preserve">for NB-IOT are </w:t>
      </w:r>
      <w:r>
        <w:t xml:space="preserve"> reused</w:t>
      </w:r>
      <w:r w:rsidR="00A249E0">
        <w:t xml:space="preserve"> for IFDMA and RPF=2</w:t>
      </w:r>
      <w:r>
        <w:t xml:space="preserve">,   a concern was raised in </w:t>
      </w:r>
      <w:r w:rsidR="003640FE">
        <w:fldChar w:fldCharType="begin"/>
      </w:r>
      <w:r w:rsidR="003640FE">
        <w:instrText xml:space="preserve"> REF _Ref461095128 \r \h </w:instrText>
      </w:r>
      <w:r w:rsidR="003640FE">
        <w:fldChar w:fldCharType="separate"/>
      </w:r>
      <w:r w:rsidR="003640FE">
        <w:t>[2]</w:t>
      </w:r>
      <w:r w:rsidR="003640FE">
        <w:fldChar w:fldCharType="end"/>
      </w:r>
      <w:r w:rsidR="003640FE">
        <w:t xml:space="preserve"> about mismatch between the cyclic shifts  in Table 5.5.2.1.1-1 and the new cyclic shifts </w:t>
      </w:r>
      <m:oMath>
        <m:r>
          <w:rPr>
            <w:rFonts w:ascii="Cambria Math" w:hAnsi="Cambria Math"/>
          </w:rPr>
          <m:t>α=</m:t>
        </m:r>
        <m:d>
          <m:dPr>
            <m:begChr m:val="{"/>
            <m:endChr m:val="}"/>
            <m:ctrlPr>
              <w:rPr>
                <w:rFonts w:ascii="Cambria Math" w:hAnsi="Cambria Math"/>
                <w:i/>
              </w:rPr>
            </m:ctrlPr>
          </m:dPr>
          <m:e>
            <m:r>
              <w:rPr>
                <w:rFonts w:ascii="Cambria Math" w:hAnsi="Cambria Math"/>
              </w:rPr>
              <m:t>0,1,2,4</m:t>
            </m:r>
          </m:e>
        </m:d>
        <m:r>
          <w:rPr>
            <w:rFonts w:ascii="Cambria Math" w:hAnsi="Cambria Math"/>
          </w:rPr>
          <m:t>.</m:t>
        </m:r>
      </m:oMath>
      <w:r w:rsidR="003640FE">
        <w:t xml:space="preserve">  </w:t>
      </w:r>
      <w:r w:rsidR="00CA51E5">
        <w:t>A</w:t>
      </w:r>
      <w:r w:rsidR="003640FE">
        <w:t>s dis</w:t>
      </w:r>
      <w:r w:rsidR="005F2CCB">
        <w:t>cussed in a companion paper</w:t>
      </w:r>
      <w:r w:rsidR="0057158C">
        <w:t xml:space="preserve"> </w:t>
      </w:r>
      <w:r w:rsidR="0057158C">
        <w:fldChar w:fldCharType="begin"/>
      </w:r>
      <w:r w:rsidR="0057158C">
        <w:instrText xml:space="preserve"> REF _Ref462867671 \r \h </w:instrText>
      </w:r>
      <w:r w:rsidR="0057158C">
        <w:fldChar w:fldCharType="separate"/>
      </w:r>
      <w:r w:rsidR="0057158C">
        <w:t>[4]</w:t>
      </w:r>
      <w:r w:rsidR="0057158C">
        <w:fldChar w:fldCharType="end"/>
      </w:r>
      <w:r w:rsidR="0057158C">
        <w:t xml:space="preserve"> </w:t>
      </w:r>
      <w:r w:rsidR="005F2CCB">
        <w:t>, instead of reus</w:t>
      </w:r>
      <w:r w:rsidR="0057158C">
        <w:t>ing</w:t>
      </w:r>
      <w:r w:rsidR="005F2CCB">
        <w:t xml:space="preserve"> the 14 base sequences of NB-IOT</w:t>
      </w:r>
      <w:r w:rsidR="00A249E0">
        <w:t xml:space="preserve">, it is better to use a new set of 30 base sequences </w:t>
      </w:r>
      <w:r w:rsidR="00CA51E5">
        <w:t xml:space="preserve">in order to </w:t>
      </w:r>
      <w:r w:rsidR="00A249E0" w:rsidRPr="00DA430F">
        <w:t>ach</w:t>
      </w:r>
      <w:r w:rsidR="00A249E0">
        <w:t>i</w:t>
      </w:r>
      <w:r w:rsidR="00A249E0" w:rsidRPr="00DA430F">
        <w:t>eve similar inter-cell interference randomization as in the case</w:t>
      </w:r>
      <w:r w:rsidR="00A249E0">
        <w:t xml:space="preserve"> of no IFDMA. With only 14 sequences, </w:t>
      </w:r>
      <w:r w:rsidR="00A249E0" w:rsidRPr="00C53EC2">
        <w:t>sequence collision between different cells will increase and thus inter-cell interference would be increased when compared to the case where 30 base sequences are available.</w:t>
      </w:r>
    </w:p>
    <w:p w14:paraId="029A77D1" w14:textId="2D51B5CA" w:rsidR="00D0685E" w:rsidRDefault="005F2CCB" w:rsidP="003C2DFF">
      <w:pPr>
        <w:pStyle w:val="BodyText"/>
      </w:pPr>
      <w:r>
        <w:t xml:space="preserve">For cyclic shifts, </w:t>
      </w:r>
      <w:r w:rsidR="00A249E0">
        <w:t xml:space="preserve">there is no compelling reason to use </w:t>
      </w:r>
      <m:oMath>
        <m:r>
          <w:rPr>
            <w:rFonts w:ascii="Cambria Math" w:hAnsi="Cambria Math"/>
          </w:rPr>
          <m:t>α=</m:t>
        </m:r>
        <m:d>
          <m:dPr>
            <m:begChr m:val="{"/>
            <m:endChr m:val="}"/>
            <m:ctrlPr>
              <w:rPr>
                <w:rFonts w:ascii="Cambria Math" w:hAnsi="Cambria Math"/>
                <w:i/>
              </w:rPr>
            </m:ctrlPr>
          </m:dPr>
          <m:e>
            <m:r>
              <w:rPr>
                <w:rFonts w:ascii="Cambria Math" w:hAnsi="Cambria Math"/>
              </w:rPr>
              <m:t>0,1,2,4</m:t>
            </m:r>
          </m:e>
        </m:d>
      </m:oMath>
      <w:r w:rsidR="00A249E0">
        <w:t xml:space="preserve">, </w:t>
      </w:r>
      <w:r>
        <w:t xml:space="preserve">the same 12 shifts i.e.  </w:t>
      </w:r>
      <m:oMath>
        <m:r>
          <w:rPr>
            <w:rFonts w:ascii="Cambria Math" w:hAnsi="Cambria Math"/>
          </w:rPr>
          <m:t>α=</m:t>
        </m:r>
        <m:d>
          <m:dPr>
            <m:begChr m:val="{"/>
            <m:endChr m:val="}"/>
            <m:ctrlPr>
              <w:rPr>
                <w:rFonts w:ascii="Cambria Math" w:hAnsi="Cambria Math"/>
                <w:i/>
              </w:rPr>
            </m:ctrlPr>
          </m:dPr>
          <m:e>
            <m:r>
              <w:rPr>
                <w:rFonts w:ascii="Cambria Math" w:hAnsi="Cambria Math"/>
              </w:rPr>
              <m:t>0,1,…,11</m:t>
            </m:r>
          </m:e>
        </m:d>
        <m:r>
          <w:rPr>
            <w:rFonts w:ascii="Cambria Math" w:hAnsi="Cambria Math"/>
          </w:rPr>
          <m:t xml:space="preserve"> </m:t>
        </m:r>
      </m:oMath>
      <w:r>
        <w:t xml:space="preserve"> </w:t>
      </w:r>
      <w:r w:rsidR="0057158C">
        <w:t xml:space="preserve">may be used </w:t>
      </w:r>
      <w:r>
        <w:t xml:space="preserve">for DMRS with RPF=2. </w:t>
      </w:r>
      <w:r w:rsidR="00A249E0">
        <w:t xml:space="preserve">However, only 6 of them (e.g. {0,2,4,6,8,10}) will result in orthogonal DMRS sequences.  </w:t>
      </w:r>
      <w:r w:rsidR="008A4FB3">
        <w:t xml:space="preserve"> </w:t>
      </w:r>
      <w:r w:rsidR="008A4FB3">
        <w:lastRenderedPageBreak/>
        <w:t xml:space="preserve">For rank=1 and rank=2 </w:t>
      </w:r>
      <w:r w:rsidR="002A4D06">
        <w:t>SU-</w:t>
      </w:r>
      <w:r w:rsidR="008A4FB3">
        <w:t xml:space="preserve">MIMO </w:t>
      </w:r>
      <w:r w:rsidR="002C3141">
        <w:t>transmission, the</w:t>
      </w:r>
      <w:r w:rsidR="008A4FB3">
        <w:t xml:space="preserve"> same cyclic shift configuration </w:t>
      </w:r>
      <w:r w:rsidR="002C3141">
        <w:t>in Table</w:t>
      </w:r>
      <w:r w:rsidR="008A4FB3">
        <w:t xml:space="preserve"> 5.5.2.1.1-1 can be used to provide maximum separation between two layers.  In case of rank=3 and rank=4 transmission, there may not be enough layer separation if the same configuration of Table 5.5.2.1.1-1 is used. However, it is understood that IFDMA is mainly used for MU-MIMO transmission with different BWs. For rank=3 and rank=4 SU-MIMO transmission, </w:t>
      </w:r>
      <w:r w:rsidR="002A4D06">
        <w:t>the legacy DMRS can be used instead.</w:t>
      </w:r>
      <w:r w:rsidR="008A4FB3">
        <w:t xml:space="preserve">  </w:t>
      </w:r>
      <w:r w:rsidR="002C3141">
        <w:t>Therefore, we</w:t>
      </w:r>
      <w:r w:rsidR="00BC7111">
        <w:t xml:space="preserve"> have the following observations:</w:t>
      </w:r>
    </w:p>
    <w:p w14:paraId="3A469C1D" w14:textId="77777777" w:rsidR="00BC7111" w:rsidRDefault="00BC7111" w:rsidP="00EA0044">
      <w:pPr>
        <w:pStyle w:val="BodyText"/>
        <w:ind w:left="1304" w:hanging="1304"/>
        <w:rPr>
          <w:i/>
        </w:rPr>
      </w:pPr>
      <w:r w:rsidRPr="0013555D">
        <w:rPr>
          <w:b/>
          <w:i/>
        </w:rPr>
        <w:t xml:space="preserve">Observation 3: </w:t>
      </w:r>
      <w:r>
        <w:rPr>
          <w:b/>
          <w:i/>
        </w:rPr>
        <w:t xml:space="preserve"> </w:t>
      </w:r>
      <w:r w:rsidRPr="0013555D">
        <w:rPr>
          <w:i/>
        </w:rPr>
        <w:t xml:space="preserve">For length 6 DMRS sequences, the same cyclic shift definition </w:t>
      </w:r>
      <w:r w:rsidRPr="0013555D">
        <w:rPr>
          <w:i/>
          <w:position w:val="-12"/>
        </w:rPr>
        <w:object w:dxaOrig="1359" w:dyaOrig="320" w14:anchorId="1123C96A">
          <v:shape id="_x0000_i1095" type="#_x0000_t75" style="width:68.55pt;height:15.45pt" o:ole="">
            <v:imagedata r:id="rId30" o:title=""/>
          </v:shape>
          <o:OLEObject Type="Embed" ProgID="Equation.3" ShapeID="_x0000_i1095" DrawAspect="Content" ObjectID="_1536790579" r:id="rId115"/>
        </w:object>
      </w:r>
      <w:r w:rsidRPr="0013555D">
        <w:rPr>
          <w:i/>
        </w:rPr>
        <w:t xml:space="preserve"> can be used but with reduced effective range. The cyclic shift configuration in Table 5.5.2.1.1-1 of 36.211 can still be used for rank1 and rank2 transmissions.</w:t>
      </w:r>
      <w:r>
        <w:rPr>
          <w:i/>
        </w:rPr>
        <w:t xml:space="preserve">  </w:t>
      </w:r>
    </w:p>
    <w:p w14:paraId="753EE1A6" w14:textId="6A9E338F" w:rsidR="00BC7111" w:rsidRPr="0013555D" w:rsidRDefault="00273246" w:rsidP="00EA0044">
      <w:pPr>
        <w:pStyle w:val="BodyText"/>
        <w:ind w:left="1304" w:hanging="1304"/>
        <w:rPr>
          <w:b/>
          <w:i/>
        </w:rPr>
      </w:pPr>
      <w:r w:rsidRPr="00273246">
        <w:rPr>
          <w:b/>
          <w:i/>
        </w:rPr>
        <w:t>Proposal</w:t>
      </w:r>
      <w:r w:rsidR="00EA0044">
        <w:rPr>
          <w:b/>
          <w:i/>
        </w:rPr>
        <w:t xml:space="preserve"> 3</w:t>
      </w:r>
      <w:r w:rsidR="00BC7111" w:rsidRPr="0013555D">
        <w:rPr>
          <w:b/>
          <w:i/>
        </w:rPr>
        <w:t>:</w:t>
      </w:r>
      <w:r w:rsidR="00BC7111">
        <w:rPr>
          <w:i/>
        </w:rPr>
        <w:t xml:space="preserve"> </w:t>
      </w:r>
      <w:r w:rsidR="00EA0044">
        <w:rPr>
          <w:i/>
        </w:rPr>
        <w:tab/>
      </w:r>
      <w:r w:rsidR="00BC7111">
        <w:rPr>
          <w:i/>
        </w:rPr>
        <w:t>if length 6 sequences are supported</w:t>
      </w:r>
      <w:r w:rsidR="002A4D06">
        <w:rPr>
          <w:i/>
        </w:rPr>
        <w:t xml:space="preserve"> for IFDMA</w:t>
      </w:r>
      <w:r w:rsidR="00BC7111">
        <w:rPr>
          <w:i/>
        </w:rPr>
        <w:t xml:space="preserve">, </w:t>
      </w:r>
      <w:r>
        <w:rPr>
          <w:i/>
        </w:rPr>
        <w:t xml:space="preserve">no change of cyclic shift definition </w:t>
      </w:r>
      <w:r w:rsidR="002C3141">
        <w:rPr>
          <w:i/>
        </w:rPr>
        <w:t>and only</w:t>
      </w:r>
      <w:r w:rsidR="00BC7111">
        <w:rPr>
          <w:i/>
        </w:rPr>
        <w:t xml:space="preserve"> rank=1,2 transmissions are </w:t>
      </w:r>
      <w:r>
        <w:rPr>
          <w:i/>
        </w:rPr>
        <w:t>supported</w:t>
      </w:r>
      <w:r w:rsidR="00BC7111">
        <w:rPr>
          <w:i/>
        </w:rPr>
        <w:t>.</w:t>
      </w:r>
    </w:p>
    <w:p w14:paraId="37538145" w14:textId="6D9FBBE7" w:rsidR="00892AED" w:rsidRDefault="00892AED" w:rsidP="00892AED">
      <w:pPr>
        <w:pStyle w:val="Heading1"/>
      </w:pPr>
      <w:r w:rsidRPr="009D2B97">
        <w:rPr>
          <w:lang w:eastAsia="ja-JP"/>
        </w:rPr>
        <w:t>Conclusion</w:t>
      </w:r>
      <w:r w:rsidR="00EA0044">
        <w:rPr>
          <w:lang w:eastAsia="ja-JP"/>
        </w:rPr>
        <w:t>s</w:t>
      </w:r>
    </w:p>
    <w:p w14:paraId="1992FAA7" w14:textId="188F8789" w:rsidR="00D714BF" w:rsidRDefault="00C02503" w:rsidP="00757D79">
      <w:pPr>
        <w:keepNext/>
        <w:jc w:val="both"/>
      </w:pPr>
      <w:r>
        <w:t xml:space="preserve">In this contribution, </w:t>
      </w:r>
      <w:r w:rsidR="00273246">
        <w:t>we have discussed a number of cyclic shift related issues for UL DMRA with IFDMA. Based on the discussions, we have the following observations and proposals:</w:t>
      </w:r>
    </w:p>
    <w:p w14:paraId="36A69031" w14:textId="698A10A6" w:rsidR="00D714BF" w:rsidRDefault="00D714BF" w:rsidP="00757D79">
      <w:pPr>
        <w:keepNext/>
        <w:jc w:val="both"/>
      </w:pPr>
    </w:p>
    <w:p w14:paraId="39EED867" w14:textId="77777777" w:rsidR="00273246" w:rsidRPr="00EF42E3" w:rsidRDefault="00273246" w:rsidP="00273246">
      <w:pPr>
        <w:rPr>
          <w:b/>
          <w:i/>
          <w:lang w:val="sv-SE" w:eastAsia="ja-JP"/>
        </w:rPr>
      </w:pPr>
      <w:r w:rsidRPr="00EF42E3">
        <w:rPr>
          <w:b/>
          <w:i/>
          <w:lang w:val="sv-SE" w:eastAsia="ja-JP"/>
        </w:rPr>
        <w:t xml:space="preserve">Observation 1:  </w:t>
      </w:r>
    </w:p>
    <w:p w14:paraId="1AF0BA97" w14:textId="77777777" w:rsidR="00273246" w:rsidRPr="00EF42E3" w:rsidRDefault="00273246" w:rsidP="00EA0044">
      <w:pPr>
        <w:pStyle w:val="ListParagraph"/>
        <w:numPr>
          <w:ilvl w:val="1"/>
          <w:numId w:val="55"/>
        </w:numPr>
        <w:rPr>
          <w:rFonts w:ascii="Times New Roman" w:hAnsi="Times New Roman" w:cs="Times New Roman"/>
          <w:i/>
          <w:sz w:val="20"/>
          <w:szCs w:val="20"/>
          <w:lang w:val="sv-SE" w:eastAsia="ja-JP"/>
        </w:rPr>
      </w:pPr>
      <w:r w:rsidRPr="00EF42E3">
        <w:rPr>
          <w:rFonts w:ascii="Times New Roman" w:hAnsi="Times New Roman" w:cs="Times New Roman"/>
          <w:i/>
          <w:sz w:val="20"/>
          <w:szCs w:val="20"/>
          <w:lang w:val="sv-SE" w:eastAsia="ja-JP"/>
        </w:rPr>
        <w:t>The minimum separations between DMRS sequences with RPF=2 is reduced by half of that with RPF=1. However, the minimum  separation between different MIMO layers is still about 8.33us, which is still good for channel estimation on different layers</w:t>
      </w:r>
    </w:p>
    <w:p w14:paraId="2032FE29" w14:textId="77777777" w:rsidR="00273246" w:rsidRPr="00EF42E3" w:rsidRDefault="00273246" w:rsidP="00EA0044">
      <w:pPr>
        <w:pStyle w:val="ListParagraph"/>
        <w:numPr>
          <w:ilvl w:val="1"/>
          <w:numId w:val="55"/>
        </w:numPr>
        <w:rPr>
          <w:rFonts w:ascii="Times New Roman" w:hAnsi="Times New Roman" w:cs="Times New Roman"/>
          <w:i/>
          <w:sz w:val="20"/>
          <w:szCs w:val="20"/>
          <w:lang w:val="sv-SE" w:eastAsia="ja-JP"/>
        </w:rPr>
      </w:pPr>
      <w:r w:rsidRPr="00EF42E3">
        <w:rPr>
          <w:rFonts w:ascii="Times New Roman" w:hAnsi="Times New Roman" w:cs="Times New Roman"/>
          <w:i/>
          <w:sz w:val="20"/>
          <w:szCs w:val="20"/>
          <w:lang w:val="sv-SE" w:eastAsia="ja-JP"/>
        </w:rPr>
        <w:t>For UEs with RPF=2 and with different scheduling BWs,  OCC2 and/or subcarrier set can be used for UE separation</w:t>
      </w:r>
    </w:p>
    <w:p w14:paraId="5F4D336C" w14:textId="77777777" w:rsidR="00273246" w:rsidRDefault="00273246" w:rsidP="00273246">
      <w:pPr>
        <w:rPr>
          <w:szCs w:val="20"/>
          <w:lang w:val="sv-SE" w:eastAsia="ja-JP"/>
        </w:rPr>
      </w:pPr>
    </w:p>
    <w:p w14:paraId="60E17866" w14:textId="6F249BAC" w:rsidR="00273246" w:rsidRDefault="00273246" w:rsidP="00EA0044">
      <w:pPr>
        <w:pStyle w:val="BodyText"/>
        <w:ind w:left="1304" w:hanging="1304"/>
      </w:pPr>
      <w:r w:rsidRPr="00EF42E3">
        <w:rPr>
          <w:b/>
          <w:i/>
        </w:rPr>
        <w:t>Observation 2:</w:t>
      </w:r>
      <w:r w:rsidRPr="00EF42E3">
        <w:rPr>
          <w:b/>
        </w:rPr>
        <w:t xml:space="preserve"> </w:t>
      </w:r>
      <w:r>
        <w:rPr>
          <w:b/>
        </w:rPr>
        <w:t xml:space="preserve"> </w:t>
      </w:r>
      <w:r w:rsidRPr="00EF42E3">
        <w:rPr>
          <w:i/>
        </w:rPr>
        <w:t xml:space="preserve">With dynamic indication of IFDMA </w:t>
      </w:r>
      <w:r w:rsidR="002E6DA9" w:rsidRPr="00EF42E3">
        <w:rPr>
          <w:i/>
        </w:rPr>
        <w:t>and legacy</w:t>
      </w:r>
      <w:r w:rsidRPr="00EF42E3">
        <w:rPr>
          <w:i/>
        </w:rPr>
        <w:t xml:space="preserve"> configuration of UL </w:t>
      </w:r>
      <w:r w:rsidR="002C3141" w:rsidRPr="00EF42E3">
        <w:rPr>
          <w:i/>
        </w:rPr>
        <w:t>DMRS, a</w:t>
      </w:r>
      <w:r w:rsidRPr="00EF42E3">
        <w:rPr>
          <w:i/>
        </w:rPr>
        <w:t xml:space="preserve"> new UE can always be switched to</w:t>
      </w:r>
      <w:r w:rsidR="002C3141">
        <w:rPr>
          <w:i/>
        </w:rPr>
        <w:t xml:space="preserve"> use </w:t>
      </w:r>
      <w:r w:rsidRPr="00EF42E3">
        <w:rPr>
          <w:i/>
        </w:rPr>
        <w:t xml:space="preserve">legacy DMRS for </w:t>
      </w:r>
      <w:r>
        <w:rPr>
          <w:i/>
        </w:rPr>
        <w:t xml:space="preserve">MU-MIMO </w:t>
      </w:r>
      <w:r w:rsidRPr="00EF42E3">
        <w:rPr>
          <w:i/>
        </w:rPr>
        <w:t>pairing with a legacy UE in a subframe by subframe basis if such a pairing is needed</w:t>
      </w:r>
      <w:r>
        <w:rPr>
          <w:i/>
        </w:rPr>
        <w:t>.</w:t>
      </w:r>
      <w:r w:rsidRPr="00EF42E3">
        <w:t xml:space="preserve"> </w:t>
      </w:r>
    </w:p>
    <w:p w14:paraId="35B8C98A" w14:textId="4C54ECF9" w:rsidR="00273246" w:rsidRDefault="00273246" w:rsidP="00EA0044">
      <w:pPr>
        <w:pStyle w:val="BodyText"/>
        <w:ind w:left="1304" w:hanging="1304"/>
        <w:rPr>
          <w:i/>
        </w:rPr>
      </w:pPr>
      <w:r w:rsidRPr="00EF42E3">
        <w:rPr>
          <w:b/>
          <w:i/>
        </w:rPr>
        <w:t xml:space="preserve">Observation 3: </w:t>
      </w:r>
      <w:r>
        <w:rPr>
          <w:b/>
          <w:i/>
        </w:rPr>
        <w:t xml:space="preserve"> </w:t>
      </w:r>
      <w:r w:rsidRPr="00EF42E3">
        <w:rPr>
          <w:i/>
        </w:rPr>
        <w:t xml:space="preserve">For length 6 DMRS sequences, the same cyclic shift definition </w:t>
      </w:r>
      <w:r w:rsidRPr="00EF42E3">
        <w:rPr>
          <w:i/>
          <w:position w:val="-12"/>
        </w:rPr>
        <w:object w:dxaOrig="1359" w:dyaOrig="320" w14:anchorId="6ACC2BCA">
          <v:shape id="_x0000_i1096" type="#_x0000_t75" style="width:68.55pt;height:15.45pt" o:ole="">
            <v:imagedata r:id="rId30" o:title=""/>
          </v:shape>
          <o:OLEObject Type="Embed" ProgID="Equation.3" ShapeID="_x0000_i1096" DrawAspect="Content" ObjectID="_1536790580" r:id="rId116"/>
        </w:object>
      </w:r>
      <w:r w:rsidRPr="00EF42E3">
        <w:rPr>
          <w:i/>
        </w:rPr>
        <w:t xml:space="preserve"> can be used but with reduced effective range. The cyclic shift configuration in Table 5.5.2.1.1-1 of 36.211 can still be used for rank1 and rank2 transmissions.</w:t>
      </w:r>
      <w:r>
        <w:rPr>
          <w:i/>
        </w:rPr>
        <w:t xml:space="preserve">  </w:t>
      </w:r>
    </w:p>
    <w:p w14:paraId="24C43448" w14:textId="7600EF90" w:rsidR="00273246" w:rsidRDefault="00273246" w:rsidP="00EA0044">
      <w:pPr>
        <w:ind w:left="1304" w:hanging="1304"/>
        <w:rPr>
          <w:i/>
          <w:szCs w:val="20"/>
          <w:lang w:val="sv-SE" w:eastAsia="ja-JP"/>
        </w:rPr>
      </w:pPr>
      <w:r w:rsidRPr="00EF42E3">
        <w:rPr>
          <w:b/>
          <w:i/>
          <w:szCs w:val="20"/>
          <w:lang w:val="sv-SE" w:eastAsia="ja-JP"/>
        </w:rPr>
        <w:t xml:space="preserve">Proposal </w:t>
      </w:r>
      <w:r>
        <w:rPr>
          <w:b/>
          <w:i/>
          <w:szCs w:val="20"/>
          <w:lang w:val="sv-SE" w:eastAsia="ja-JP"/>
        </w:rPr>
        <w:t xml:space="preserve"> </w:t>
      </w:r>
      <w:r w:rsidRPr="00EF42E3">
        <w:rPr>
          <w:b/>
          <w:i/>
          <w:szCs w:val="20"/>
          <w:lang w:val="sv-SE" w:eastAsia="ja-JP"/>
        </w:rPr>
        <w:t>1:</w:t>
      </w:r>
      <w:r>
        <w:rPr>
          <w:b/>
          <w:szCs w:val="20"/>
          <w:lang w:val="sv-SE" w:eastAsia="ja-JP"/>
        </w:rPr>
        <w:t xml:space="preserve">  </w:t>
      </w:r>
      <w:r w:rsidR="00EA0044">
        <w:rPr>
          <w:b/>
          <w:szCs w:val="20"/>
          <w:lang w:val="sv-SE" w:eastAsia="ja-JP"/>
        </w:rPr>
        <w:tab/>
      </w:r>
      <w:r w:rsidRPr="00EF42E3">
        <w:rPr>
          <w:i/>
          <w:szCs w:val="20"/>
          <w:lang w:val="sv-SE" w:eastAsia="ja-JP"/>
        </w:rPr>
        <w:t xml:space="preserve">The existing  cyclic shift definition and range can also be used for </w:t>
      </w:r>
      <w:r w:rsidR="002E6DA9">
        <w:rPr>
          <w:i/>
          <w:szCs w:val="20"/>
          <w:lang w:val="sv-SE" w:eastAsia="ja-JP"/>
        </w:rPr>
        <w:t xml:space="preserve">UL DMRA with IFDMA and </w:t>
      </w:r>
      <w:r w:rsidRPr="00EF42E3">
        <w:rPr>
          <w:i/>
          <w:szCs w:val="20"/>
          <w:lang w:val="sv-SE" w:eastAsia="ja-JP"/>
        </w:rPr>
        <w:t>RPF=2</w:t>
      </w:r>
    </w:p>
    <w:p w14:paraId="1DD8AB49" w14:textId="1CF34CD8" w:rsidR="00273246" w:rsidRPr="00EF42E3" w:rsidRDefault="00273246" w:rsidP="00EA0044">
      <w:pPr>
        <w:pStyle w:val="BodyText"/>
        <w:ind w:left="1304" w:hanging="1304"/>
        <w:rPr>
          <w:i/>
        </w:rPr>
      </w:pPr>
      <w:r>
        <w:rPr>
          <w:b/>
          <w:i/>
        </w:rPr>
        <w:t xml:space="preserve">Proposal </w:t>
      </w:r>
      <w:r w:rsidRPr="00EF42E3">
        <w:rPr>
          <w:b/>
          <w:i/>
        </w:rPr>
        <w:t>2:</w:t>
      </w:r>
      <w:r>
        <w:t xml:space="preserve"> </w:t>
      </w:r>
      <w:r w:rsidR="00EA0044">
        <w:tab/>
      </w:r>
      <w:r w:rsidR="002E6DA9">
        <w:rPr>
          <w:i/>
        </w:rPr>
        <w:t xml:space="preserve">No change of </w:t>
      </w:r>
      <w:r w:rsidRPr="00EF42E3">
        <w:rPr>
          <w:i/>
        </w:rPr>
        <w:t>cyclic shift generation or DMRS reference signal sequence generation from the base sequences</w:t>
      </w:r>
      <w:r w:rsidR="002E6DA9">
        <w:rPr>
          <w:i/>
        </w:rPr>
        <w:t xml:space="preserve"> for UL DMRS with IFDMA</w:t>
      </w:r>
    </w:p>
    <w:p w14:paraId="0D1885EF" w14:textId="2BFD165C" w:rsidR="00273246" w:rsidRPr="00EF42E3" w:rsidRDefault="00273246" w:rsidP="00EA0044">
      <w:pPr>
        <w:pStyle w:val="BodyText"/>
        <w:ind w:left="1304" w:hanging="1304"/>
        <w:rPr>
          <w:b/>
          <w:i/>
        </w:rPr>
      </w:pPr>
      <w:r w:rsidRPr="00273246">
        <w:rPr>
          <w:b/>
          <w:i/>
        </w:rPr>
        <w:t>Proposal</w:t>
      </w:r>
      <w:r>
        <w:rPr>
          <w:b/>
          <w:i/>
        </w:rPr>
        <w:t xml:space="preserve"> 3</w:t>
      </w:r>
      <w:r w:rsidRPr="00EF42E3">
        <w:rPr>
          <w:b/>
          <w:i/>
        </w:rPr>
        <w:t>:</w:t>
      </w:r>
      <w:r>
        <w:rPr>
          <w:i/>
        </w:rPr>
        <w:t xml:space="preserve"> </w:t>
      </w:r>
      <w:r w:rsidR="00EA0044">
        <w:rPr>
          <w:i/>
        </w:rPr>
        <w:tab/>
        <w:t>I</w:t>
      </w:r>
      <w:r>
        <w:rPr>
          <w:i/>
        </w:rPr>
        <w:t>f length 6 sequences are supported</w:t>
      </w:r>
      <w:r w:rsidR="002A4D06">
        <w:rPr>
          <w:i/>
        </w:rPr>
        <w:t xml:space="preserve"> for IFDMA</w:t>
      </w:r>
      <w:r>
        <w:rPr>
          <w:i/>
        </w:rPr>
        <w:t>, no change of cyclic shift definition and only rank=1,2 transmissions are supported.</w:t>
      </w:r>
    </w:p>
    <w:p w14:paraId="35BD09D5" w14:textId="77777777" w:rsidR="006C0DCA" w:rsidRDefault="006C0DCA" w:rsidP="006C0DCA">
      <w:pPr>
        <w:pStyle w:val="Heading1"/>
        <w:rPr>
          <w:lang w:eastAsia="ja-JP"/>
        </w:rPr>
      </w:pPr>
      <w:r w:rsidRPr="00AA4666">
        <w:rPr>
          <w:lang w:eastAsia="ja-JP"/>
        </w:rPr>
        <w:t>References</w:t>
      </w:r>
    </w:p>
    <w:p w14:paraId="6D824DEB" w14:textId="0E8805DF" w:rsidR="007C103B" w:rsidRPr="000B6D06" w:rsidRDefault="007C103B" w:rsidP="007564E3">
      <w:pPr>
        <w:pStyle w:val="ListParagraph"/>
        <w:numPr>
          <w:ilvl w:val="0"/>
          <w:numId w:val="46"/>
        </w:numPr>
        <w:rPr>
          <w:rFonts w:ascii="Times New Roman" w:hAnsi="Times New Roman" w:cs="Times New Roman"/>
          <w:sz w:val="20"/>
          <w:szCs w:val="20"/>
        </w:rPr>
      </w:pPr>
      <w:bookmarkStart w:id="6" w:name="_Ref458425895"/>
      <w:bookmarkStart w:id="7" w:name="_Ref447136736"/>
      <w:r w:rsidRPr="000B6D06">
        <w:rPr>
          <w:rFonts w:ascii="Times New Roman" w:hAnsi="Times New Roman" w:cs="Times New Roman"/>
          <w:sz w:val="20"/>
          <w:szCs w:val="20"/>
        </w:rPr>
        <w:t>Chairman’s notes RAN1#8</w:t>
      </w:r>
      <w:bookmarkEnd w:id="6"/>
      <w:bookmarkEnd w:id="7"/>
      <w:r w:rsidR="00C168A4" w:rsidRPr="000B6D06">
        <w:rPr>
          <w:rFonts w:ascii="Times New Roman" w:hAnsi="Times New Roman" w:cs="Times New Roman"/>
          <w:sz w:val="20"/>
          <w:szCs w:val="20"/>
        </w:rPr>
        <w:t>6</w:t>
      </w:r>
    </w:p>
    <w:p w14:paraId="24D46836" w14:textId="4D839E07" w:rsidR="003B3AB8" w:rsidRPr="000B6D06" w:rsidRDefault="007C103B" w:rsidP="007C103B">
      <w:pPr>
        <w:pStyle w:val="ListParagraph"/>
        <w:numPr>
          <w:ilvl w:val="0"/>
          <w:numId w:val="46"/>
        </w:numPr>
        <w:rPr>
          <w:rFonts w:ascii="Times New Roman" w:hAnsi="Times New Roman" w:cs="Times New Roman"/>
          <w:sz w:val="20"/>
          <w:szCs w:val="20"/>
        </w:rPr>
      </w:pPr>
      <w:bookmarkStart w:id="8" w:name="_Ref461095128"/>
      <w:r w:rsidRPr="000B6D06">
        <w:rPr>
          <w:rFonts w:ascii="Times New Roman" w:hAnsi="Times New Roman" w:cs="Times New Roman"/>
          <w:sz w:val="20"/>
          <w:szCs w:val="20"/>
        </w:rPr>
        <w:t>R1-16</w:t>
      </w:r>
      <w:r w:rsidR="003640FE" w:rsidRPr="000B6D06">
        <w:rPr>
          <w:rFonts w:ascii="Times New Roman" w:hAnsi="Times New Roman" w:cs="Times New Roman"/>
          <w:sz w:val="20"/>
          <w:szCs w:val="20"/>
        </w:rPr>
        <w:t>6341</w:t>
      </w:r>
      <w:r w:rsidRPr="000B6D06">
        <w:rPr>
          <w:rFonts w:ascii="Times New Roman" w:hAnsi="Times New Roman" w:cs="Times New Roman"/>
          <w:sz w:val="20"/>
          <w:szCs w:val="20"/>
        </w:rPr>
        <w:t>, “</w:t>
      </w:r>
      <w:bookmarkStart w:id="9" w:name="OLE_LINK29"/>
      <w:bookmarkStart w:id="10" w:name="OLE_LINK30"/>
      <w:r w:rsidR="003640FE" w:rsidRPr="000B6D06">
        <w:rPr>
          <w:rFonts w:ascii="Times New Roman" w:hAnsi="Times New Roman" w:cs="Times New Roman"/>
          <w:bCs/>
          <w:sz w:val="20"/>
          <w:szCs w:val="20"/>
          <w:lang w:val="en-GB"/>
        </w:rPr>
        <w:t>Control Signalling</w:t>
      </w:r>
      <w:r w:rsidR="003640FE" w:rsidRPr="000B6D06">
        <w:rPr>
          <w:rFonts w:ascii="Times New Roman" w:hAnsi="Times New Roman" w:cs="Times New Roman"/>
          <w:bCs/>
          <w:sz w:val="20"/>
          <w:szCs w:val="20"/>
          <w:lang w:val="en-GB" w:eastAsia="zh-CN"/>
        </w:rPr>
        <w:t xml:space="preserve"> for </w:t>
      </w:r>
      <w:bookmarkStart w:id="11" w:name="OLE_LINK15"/>
      <w:bookmarkStart w:id="12" w:name="OLE_LINK16"/>
      <w:r w:rsidR="003640FE" w:rsidRPr="000B6D06">
        <w:rPr>
          <w:rFonts w:ascii="Times New Roman" w:hAnsi="Times New Roman" w:cs="Times New Roman"/>
          <w:bCs/>
          <w:sz w:val="20"/>
          <w:szCs w:val="20"/>
          <w:lang w:val="en-GB" w:eastAsia="zh-CN"/>
        </w:rPr>
        <w:t>UL DMRS with IFDMA</w:t>
      </w:r>
      <w:bookmarkEnd w:id="9"/>
      <w:bookmarkEnd w:id="10"/>
      <w:bookmarkEnd w:id="11"/>
      <w:bookmarkEnd w:id="12"/>
      <w:r w:rsidRPr="000B6D06">
        <w:rPr>
          <w:rFonts w:ascii="Times New Roman" w:hAnsi="Times New Roman" w:cs="Times New Roman"/>
          <w:sz w:val="20"/>
          <w:szCs w:val="20"/>
        </w:rPr>
        <w:t xml:space="preserve">”, </w:t>
      </w:r>
      <w:r w:rsidR="00C168A4" w:rsidRPr="000B6D06">
        <w:rPr>
          <w:rFonts w:ascii="Times New Roman" w:hAnsi="Times New Roman" w:cs="Times New Roman"/>
          <w:sz w:val="20"/>
          <w:szCs w:val="20"/>
        </w:rPr>
        <w:t>Nokia,</w:t>
      </w:r>
      <w:r w:rsidRPr="000B6D06">
        <w:rPr>
          <w:rFonts w:ascii="Times New Roman" w:hAnsi="Times New Roman" w:cs="Times New Roman"/>
          <w:sz w:val="20"/>
          <w:szCs w:val="20"/>
        </w:rPr>
        <w:t xml:space="preserve"> RAN1#8</w:t>
      </w:r>
      <w:r w:rsidR="00C168A4" w:rsidRPr="000B6D06">
        <w:rPr>
          <w:rFonts w:ascii="Times New Roman" w:hAnsi="Times New Roman" w:cs="Times New Roman"/>
          <w:sz w:val="20"/>
          <w:szCs w:val="20"/>
        </w:rPr>
        <w:t>6</w:t>
      </w:r>
      <w:bookmarkEnd w:id="8"/>
    </w:p>
    <w:p w14:paraId="53A3FCF9" w14:textId="4FF9A50A" w:rsidR="00B11AE5" w:rsidRPr="000B6D06" w:rsidRDefault="00B11AE5" w:rsidP="007C103B">
      <w:pPr>
        <w:pStyle w:val="ListParagraph"/>
        <w:numPr>
          <w:ilvl w:val="0"/>
          <w:numId w:val="46"/>
        </w:numPr>
        <w:rPr>
          <w:rFonts w:ascii="Times New Roman" w:hAnsi="Times New Roman" w:cs="Times New Roman"/>
          <w:sz w:val="20"/>
          <w:szCs w:val="20"/>
        </w:rPr>
      </w:pPr>
      <w:bookmarkStart w:id="13" w:name="_Ref461715497"/>
      <w:r w:rsidRPr="000B6D06">
        <w:rPr>
          <w:rFonts w:ascii="Times New Roman" w:hAnsi="Times New Roman" w:cs="Times New Roman"/>
          <w:sz w:val="20"/>
          <w:szCs w:val="20"/>
        </w:rPr>
        <w:t>R1-166634, “</w:t>
      </w:r>
      <w:r w:rsidRPr="000B6D06">
        <w:rPr>
          <w:rFonts w:ascii="Times New Roman" w:eastAsiaTheme="minorEastAsia" w:hAnsi="Times New Roman" w:cs="Times New Roman"/>
          <w:bCs/>
          <w:sz w:val="20"/>
          <w:szCs w:val="20"/>
          <w:lang w:eastAsia="zh-CN"/>
        </w:rPr>
        <w:t>Discussion on IFDMA based scheme”, NEC, RAN1#86</w:t>
      </w:r>
      <w:bookmarkEnd w:id="13"/>
    </w:p>
    <w:p w14:paraId="373D6359" w14:textId="32A75333" w:rsidR="0057158C" w:rsidRPr="000B6D06" w:rsidRDefault="000B6D06" w:rsidP="000B6D06">
      <w:pPr>
        <w:pStyle w:val="ListParagraph"/>
        <w:numPr>
          <w:ilvl w:val="0"/>
          <w:numId w:val="46"/>
        </w:numPr>
        <w:rPr>
          <w:rStyle w:val="Hyperlink"/>
          <w:rFonts w:ascii="Times New Roman" w:hAnsi="Times New Roman" w:cs="Times New Roman"/>
          <w:color w:val="000000" w:themeColor="text1"/>
          <w:sz w:val="20"/>
          <w:szCs w:val="20"/>
          <w:u w:val="none"/>
        </w:rPr>
      </w:pPr>
      <w:bookmarkStart w:id="14" w:name="_Ref462867671"/>
      <w:r w:rsidRPr="002D6F4F">
        <w:rPr>
          <w:rFonts w:ascii="Times New Roman" w:hAnsi="Times New Roman" w:cs="Times New Roman"/>
          <w:sz w:val="20"/>
          <w:szCs w:val="20"/>
        </w:rPr>
        <w:t>R1-</w:t>
      </w:r>
      <w:r w:rsidRPr="000B6D06">
        <w:rPr>
          <w:rFonts w:ascii="Times New Roman" w:hAnsi="Times New Roman" w:cs="Times New Roman"/>
          <w:sz w:val="20"/>
          <w:szCs w:val="20"/>
        </w:rPr>
        <w:t>1609850</w:t>
      </w:r>
      <w:r w:rsidR="0057158C" w:rsidRPr="000B6D06">
        <w:rPr>
          <w:rFonts w:ascii="Times New Roman" w:hAnsi="Times New Roman" w:cs="Times New Roman"/>
          <w:sz w:val="20"/>
          <w:szCs w:val="20"/>
        </w:rPr>
        <w:t xml:space="preserve">, </w:t>
      </w:r>
      <w:r w:rsidR="0013555D" w:rsidRPr="000B6D06">
        <w:rPr>
          <w:rFonts w:ascii="Times New Roman" w:hAnsi="Times New Roman" w:cs="Times New Roman"/>
          <w:sz w:val="20"/>
          <w:szCs w:val="20"/>
        </w:rPr>
        <w:t>“</w:t>
      </w:r>
      <w:r w:rsidRPr="000B6D06">
        <w:rPr>
          <w:rFonts w:ascii="Times New Roman" w:hAnsi="Times New Roman" w:cs="Times New Roman"/>
          <w:sz w:val="20"/>
          <w:szCs w:val="20"/>
        </w:rPr>
        <w:t>On new UL DMRS sequences of lengths 6, 18 and 30</w:t>
      </w:r>
      <w:r w:rsidR="0057158C" w:rsidRPr="002D6F4F">
        <w:rPr>
          <w:rStyle w:val="Hyperlink"/>
          <w:rFonts w:ascii="Times New Roman" w:hAnsi="Times New Roman" w:cs="Times New Roman"/>
          <w:color w:val="000000" w:themeColor="text1"/>
          <w:sz w:val="20"/>
          <w:szCs w:val="20"/>
          <w:u w:val="none"/>
          <w:lang w:eastAsia="ja-JP"/>
        </w:rPr>
        <w:t>”, Ericsson, RAN1#86bis</w:t>
      </w:r>
      <w:bookmarkEnd w:id="14"/>
    </w:p>
    <w:p w14:paraId="4B2D614E" w14:textId="0101A393" w:rsidR="009F35D2" w:rsidRPr="000B6D06" w:rsidRDefault="009F35D2" w:rsidP="002C3141">
      <w:pPr>
        <w:pStyle w:val="ListParagraph"/>
        <w:numPr>
          <w:ilvl w:val="0"/>
          <w:numId w:val="46"/>
        </w:numPr>
        <w:rPr>
          <w:rFonts w:ascii="Times New Roman" w:hAnsi="Times New Roman" w:cs="Times New Roman"/>
          <w:sz w:val="20"/>
          <w:szCs w:val="20"/>
        </w:rPr>
      </w:pPr>
      <w:bookmarkStart w:id="15" w:name="_Ref462951896"/>
      <w:r w:rsidRPr="000B6D06">
        <w:rPr>
          <w:rFonts w:ascii="Times New Roman" w:hAnsi="Times New Roman" w:cs="Times New Roman"/>
          <w:sz w:val="20"/>
          <w:szCs w:val="20"/>
        </w:rPr>
        <w:t>R1-</w:t>
      </w:r>
      <w:r w:rsidR="000B6D06" w:rsidRPr="000B6D06">
        <w:rPr>
          <w:rFonts w:ascii="Times New Roman" w:hAnsi="Times New Roman" w:cs="Times New Roman"/>
          <w:sz w:val="20"/>
          <w:szCs w:val="20"/>
        </w:rPr>
        <w:t>1609849</w:t>
      </w:r>
      <w:r w:rsidRPr="000B6D06">
        <w:rPr>
          <w:rFonts w:ascii="Times New Roman" w:hAnsi="Times New Roman" w:cs="Times New Roman"/>
          <w:sz w:val="20"/>
          <w:szCs w:val="20"/>
        </w:rPr>
        <w:t xml:space="preserve">, </w:t>
      </w:r>
      <w:r w:rsidR="002C3141" w:rsidRPr="000B6D06">
        <w:rPr>
          <w:rFonts w:ascii="Times New Roman" w:hAnsi="Times New Roman" w:cs="Times New Roman"/>
          <w:sz w:val="20"/>
          <w:szCs w:val="20"/>
        </w:rPr>
        <w:t>“On RPF, Control Signalling, and Power Boosting for UL DMRS”, Ericsson, RAN1#86bis</w:t>
      </w:r>
      <w:bookmarkEnd w:id="15"/>
    </w:p>
    <w:p w14:paraId="7B627ED4" w14:textId="2FB9A2BE" w:rsidR="001970B1" w:rsidRPr="001970B1" w:rsidRDefault="001970B1" w:rsidP="0013555D">
      <w:pPr>
        <w:pStyle w:val="Heading1"/>
        <w:numPr>
          <w:ilvl w:val="0"/>
          <w:numId w:val="0"/>
        </w:numPr>
        <w:ind w:left="432"/>
        <w:rPr>
          <w:lang w:eastAsia="ja-JP"/>
        </w:rPr>
      </w:pPr>
    </w:p>
    <w:sectPr w:rsidR="001970B1" w:rsidRPr="001970B1">
      <w:headerReference w:type="even" r:id="rId117"/>
      <w:headerReference w:type="default" r:id="rId118"/>
      <w:footerReference w:type="even" r:id="rId119"/>
      <w:footerReference w:type="default" r:id="rId120"/>
      <w:headerReference w:type="first" r:id="rId121"/>
      <w:footerReference w:type="first" r:id="rId12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6B599" w14:textId="77777777" w:rsidR="002B4A2C" w:rsidRDefault="002B4A2C">
      <w:r>
        <w:separator/>
      </w:r>
    </w:p>
  </w:endnote>
  <w:endnote w:type="continuationSeparator" w:id="0">
    <w:p w14:paraId="6073712E" w14:textId="77777777" w:rsidR="002B4A2C" w:rsidRDefault="002B4A2C">
      <w:r>
        <w:continuationSeparator/>
      </w:r>
    </w:p>
  </w:endnote>
  <w:endnote w:type="continuationNotice" w:id="1">
    <w:p w14:paraId="288938BC" w14:textId="77777777" w:rsidR="002B4A2C" w:rsidRDefault="002B4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43AC" w14:textId="77777777" w:rsidR="00C0646E" w:rsidRDefault="00C06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D273F" w14:textId="77777777" w:rsidR="00C0646E" w:rsidRDefault="00C064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0403C" w14:textId="77777777" w:rsidR="00C0646E" w:rsidRDefault="00C06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9DB54" w14:textId="77777777" w:rsidR="002B4A2C" w:rsidRDefault="002B4A2C">
      <w:r>
        <w:separator/>
      </w:r>
    </w:p>
  </w:footnote>
  <w:footnote w:type="continuationSeparator" w:id="0">
    <w:p w14:paraId="46C3C0B6" w14:textId="77777777" w:rsidR="002B4A2C" w:rsidRDefault="002B4A2C">
      <w:r>
        <w:continuationSeparator/>
      </w:r>
    </w:p>
  </w:footnote>
  <w:footnote w:type="continuationNotice" w:id="1">
    <w:p w14:paraId="410D1478" w14:textId="77777777" w:rsidR="002B4A2C" w:rsidRDefault="002B4A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63F7C" w14:textId="77777777" w:rsidR="00C0646E" w:rsidRDefault="00C06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DDD86" w14:textId="77777777" w:rsidR="00C0646E" w:rsidRDefault="00C064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9E576" w14:textId="77777777" w:rsidR="00C0646E" w:rsidRDefault="00C06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1" w15:restartNumberingAfterBreak="0">
    <w:nsid w:val="05967C32"/>
    <w:multiLevelType w:val="hybridMultilevel"/>
    <w:tmpl w:val="D1EE1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34B3"/>
    <w:multiLevelType w:val="hybridMultilevel"/>
    <w:tmpl w:val="D84A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2E7C"/>
    <w:multiLevelType w:val="hybridMultilevel"/>
    <w:tmpl w:val="289E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83677D"/>
    <w:multiLevelType w:val="hybridMultilevel"/>
    <w:tmpl w:val="C2D6FD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C96E35"/>
    <w:multiLevelType w:val="hybridMultilevel"/>
    <w:tmpl w:val="86C6E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D5791"/>
    <w:multiLevelType w:val="hybridMultilevel"/>
    <w:tmpl w:val="4F4C9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462CC"/>
    <w:multiLevelType w:val="hybridMultilevel"/>
    <w:tmpl w:val="0FD0FB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A0357"/>
    <w:multiLevelType w:val="hybridMultilevel"/>
    <w:tmpl w:val="856E70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E8469EE"/>
    <w:multiLevelType w:val="hybridMultilevel"/>
    <w:tmpl w:val="418CF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1" w15:restartNumberingAfterBreak="0">
    <w:nsid w:val="21363C9B"/>
    <w:multiLevelType w:val="hybridMultilevel"/>
    <w:tmpl w:val="7BB69192"/>
    <w:lvl w:ilvl="0" w:tplc="27D68E1C">
      <w:start w:val="1"/>
      <w:numFmt w:val="bullet"/>
      <w:lvlText w:val="–"/>
      <w:lvlJc w:val="left"/>
      <w:pPr>
        <w:tabs>
          <w:tab w:val="num" w:pos="720"/>
        </w:tabs>
        <w:ind w:left="720" w:hanging="360"/>
      </w:pPr>
      <w:rPr>
        <w:rFonts w:ascii="Arial" w:hAnsi="Arial" w:hint="default"/>
      </w:rPr>
    </w:lvl>
    <w:lvl w:ilvl="1" w:tplc="6D5E4FE2">
      <w:start w:val="1"/>
      <w:numFmt w:val="bullet"/>
      <w:lvlText w:val="–"/>
      <w:lvlJc w:val="left"/>
      <w:pPr>
        <w:tabs>
          <w:tab w:val="num" w:pos="1440"/>
        </w:tabs>
        <w:ind w:left="1440" w:hanging="360"/>
      </w:pPr>
      <w:rPr>
        <w:rFonts w:ascii="Arial" w:hAnsi="Arial" w:hint="default"/>
      </w:rPr>
    </w:lvl>
    <w:lvl w:ilvl="2" w:tplc="222AEB32">
      <w:start w:val="2166"/>
      <w:numFmt w:val="bullet"/>
      <w:lvlText w:val="•"/>
      <w:lvlJc w:val="left"/>
      <w:pPr>
        <w:tabs>
          <w:tab w:val="num" w:pos="2160"/>
        </w:tabs>
        <w:ind w:left="2160" w:hanging="360"/>
      </w:pPr>
      <w:rPr>
        <w:rFonts w:ascii="Arial" w:hAnsi="Arial" w:hint="default"/>
      </w:rPr>
    </w:lvl>
    <w:lvl w:ilvl="3" w:tplc="A292549C" w:tentative="1">
      <w:start w:val="1"/>
      <w:numFmt w:val="bullet"/>
      <w:lvlText w:val="–"/>
      <w:lvlJc w:val="left"/>
      <w:pPr>
        <w:tabs>
          <w:tab w:val="num" w:pos="2880"/>
        </w:tabs>
        <w:ind w:left="2880" w:hanging="360"/>
      </w:pPr>
      <w:rPr>
        <w:rFonts w:ascii="Arial" w:hAnsi="Arial" w:hint="default"/>
      </w:rPr>
    </w:lvl>
    <w:lvl w:ilvl="4" w:tplc="465C94A4" w:tentative="1">
      <w:start w:val="1"/>
      <w:numFmt w:val="bullet"/>
      <w:lvlText w:val="–"/>
      <w:lvlJc w:val="left"/>
      <w:pPr>
        <w:tabs>
          <w:tab w:val="num" w:pos="3600"/>
        </w:tabs>
        <w:ind w:left="3600" w:hanging="360"/>
      </w:pPr>
      <w:rPr>
        <w:rFonts w:ascii="Arial" w:hAnsi="Arial" w:hint="default"/>
      </w:rPr>
    </w:lvl>
    <w:lvl w:ilvl="5" w:tplc="EFDEB4F6" w:tentative="1">
      <w:start w:val="1"/>
      <w:numFmt w:val="bullet"/>
      <w:lvlText w:val="–"/>
      <w:lvlJc w:val="left"/>
      <w:pPr>
        <w:tabs>
          <w:tab w:val="num" w:pos="4320"/>
        </w:tabs>
        <w:ind w:left="4320" w:hanging="360"/>
      </w:pPr>
      <w:rPr>
        <w:rFonts w:ascii="Arial" w:hAnsi="Arial" w:hint="default"/>
      </w:rPr>
    </w:lvl>
    <w:lvl w:ilvl="6" w:tplc="F2BCBCDC" w:tentative="1">
      <w:start w:val="1"/>
      <w:numFmt w:val="bullet"/>
      <w:lvlText w:val="–"/>
      <w:lvlJc w:val="left"/>
      <w:pPr>
        <w:tabs>
          <w:tab w:val="num" w:pos="5040"/>
        </w:tabs>
        <w:ind w:left="5040" w:hanging="360"/>
      </w:pPr>
      <w:rPr>
        <w:rFonts w:ascii="Arial" w:hAnsi="Arial" w:hint="default"/>
      </w:rPr>
    </w:lvl>
    <w:lvl w:ilvl="7" w:tplc="F324338C" w:tentative="1">
      <w:start w:val="1"/>
      <w:numFmt w:val="bullet"/>
      <w:lvlText w:val="–"/>
      <w:lvlJc w:val="left"/>
      <w:pPr>
        <w:tabs>
          <w:tab w:val="num" w:pos="5760"/>
        </w:tabs>
        <w:ind w:left="5760" w:hanging="360"/>
      </w:pPr>
      <w:rPr>
        <w:rFonts w:ascii="Arial" w:hAnsi="Arial" w:hint="default"/>
      </w:rPr>
    </w:lvl>
    <w:lvl w:ilvl="8" w:tplc="EBE44C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930B0F"/>
    <w:multiLevelType w:val="hybridMultilevel"/>
    <w:tmpl w:val="E36E81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3663852"/>
    <w:multiLevelType w:val="hybridMultilevel"/>
    <w:tmpl w:val="E7903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A33D45"/>
    <w:multiLevelType w:val="hybridMultilevel"/>
    <w:tmpl w:val="9CAE4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F37B8"/>
    <w:multiLevelType w:val="hybridMultilevel"/>
    <w:tmpl w:val="78B2D786"/>
    <w:lvl w:ilvl="0" w:tplc="CB0065C0">
      <w:start w:val="1"/>
      <w:numFmt w:val="bullet"/>
      <w:lvlText w:val="•"/>
      <w:lvlJc w:val="left"/>
      <w:pPr>
        <w:tabs>
          <w:tab w:val="num" w:pos="720"/>
        </w:tabs>
        <w:ind w:left="720" w:hanging="360"/>
      </w:pPr>
      <w:rPr>
        <w:rFonts w:ascii="Arial" w:hAnsi="Arial" w:hint="default"/>
      </w:rPr>
    </w:lvl>
    <w:lvl w:ilvl="1" w:tplc="FFFCF246">
      <w:start w:val="654"/>
      <w:numFmt w:val="bullet"/>
      <w:lvlText w:val="–"/>
      <w:lvlJc w:val="left"/>
      <w:pPr>
        <w:tabs>
          <w:tab w:val="num" w:pos="1440"/>
        </w:tabs>
        <w:ind w:left="1440" w:hanging="360"/>
      </w:pPr>
      <w:rPr>
        <w:rFonts w:ascii="Arial" w:hAnsi="Arial" w:hint="default"/>
      </w:rPr>
    </w:lvl>
    <w:lvl w:ilvl="2" w:tplc="104206BE">
      <w:start w:val="1"/>
      <w:numFmt w:val="bullet"/>
      <w:lvlText w:val="•"/>
      <w:lvlJc w:val="left"/>
      <w:pPr>
        <w:tabs>
          <w:tab w:val="num" w:pos="2160"/>
        </w:tabs>
        <w:ind w:left="2160" w:hanging="360"/>
      </w:pPr>
      <w:rPr>
        <w:rFonts w:ascii="Arial" w:hAnsi="Arial" w:hint="default"/>
      </w:rPr>
    </w:lvl>
    <w:lvl w:ilvl="3" w:tplc="01BA8E7E" w:tentative="1">
      <w:start w:val="1"/>
      <w:numFmt w:val="bullet"/>
      <w:lvlText w:val="•"/>
      <w:lvlJc w:val="left"/>
      <w:pPr>
        <w:tabs>
          <w:tab w:val="num" w:pos="2880"/>
        </w:tabs>
        <w:ind w:left="2880" w:hanging="360"/>
      </w:pPr>
      <w:rPr>
        <w:rFonts w:ascii="Arial" w:hAnsi="Arial" w:hint="default"/>
      </w:rPr>
    </w:lvl>
    <w:lvl w:ilvl="4" w:tplc="D9E6EA76" w:tentative="1">
      <w:start w:val="1"/>
      <w:numFmt w:val="bullet"/>
      <w:lvlText w:val="•"/>
      <w:lvlJc w:val="left"/>
      <w:pPr>
        <w:tabs>
          <w:tab w:val="num" w:pos="3600"/>
        </w:tabs>
        <w:ind w:left="3600" w:hanging="360"/>
      </w:pPr>
      <w:rPr>
        <w:rFonts w:ascii="Arial" w:hAnsi="Arial" w:hint="default"/>
      </w:rPr>
    </w:lvl>
    <w:lvl w:ilvl="5" w:tplc="30EACC38" w:tentative="1">
      <w:start w:val="1"/>
      <w:numFmt w:val="bullet"/>
      <w:lvlText w:val="•"/>
      <w:lvlJc w:val="left"/>
      <w:pPr>
        <w:tabs>
          <w:tab w:val="num" w:pos="4320"/>
        </w:tabs>
        <w:ind w:left="4320" w:hanging="360"/>
      </w:pPr>
      <w:rPr>
        <w:rFonts w:ascii="Arial" w:hAnsi="Arial" w:hint="default"/>
      </w:rPr>
    </w:lvl>
    <w:lvl w:ilvl="6" w:tplc="0A440F8C" w:tentative="1">
      <w:start w:val="1"/>
      <w:numFmt w:val="bullet"/>
      <w:lvlText w:val="•"/>
      <w:lvlJc w:val="left"/>
      <w:pPr>
        <w:tabs>
          <w:tab w:val="num" w:pos="5040"/>
        </w:tabs>
        <w:ind w:left="5040" w:hanging="360"/>
      </w:pPr>
      <w:rPr>
        <w:rFonts w:ascii="Arial" w:hAnsi="Arial" w:hint="default"/>
      </w:rPr>
    </w:lvl>
    <w:lvl w:ilvl="7" w:tplc="E7A6659C" w:tentative="1">
      <w:start w:val="1"/>
      <w:numFmt w:val="bullet"/>
      <w:lvlText w:val="•"/>
      <w:lvlJc w:val="left"/>
      <w:pPr>
        <w:tabs>
          <w:tab w:val="num" w:pos="5760"/>
        </w:tabs>
        <w:ind w:left="5760" w:hanging="360"/>
      </w:pPr>
      <w:rPr>
        <w:rFonts w:ascii="Arial" w:hAnsi="Arial" w:hint="default"/>
      </w:rPr>
    </w:lvl>
    <w:lvl w:ilvl="8" w:tplc="7E4241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F2397"/>
    <w:multiLevelType w:val="hybridMultilevel"/>
    <w:tmpl w:val="3EB865E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2E4F5127"/>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32326AF9"/>
    <w:multiLevelType w:val="hybridMultilevel"/>
    <w:tmpl w:val="295A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B20A4"/>
    <w:multiLevelType w:val="hybridMultilevel"/>
    <w:tmpl w:val="E1CAA458"/>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0" w15:restartNumberingAfterBreak="0">
    <w:nsid w:val="36B21ADA"/>
    <w:multiLevelType w:val="hybridMultilevel"/>
    <w:tmpl w:val="94AAD0AA"/>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84E452B"/>
    <w:multiLevelType w:val="hybridMultilevel"/>
    <w:tmpl w:val="BC582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9425D"/>
    <w:multiLevelType w:val="hybridMultilevel"/>
    <w:tmpl w:val="7526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20F29"/>
    <w:multiLevelType w:val="hybridMultilevel"/>
    <w:tmpl w:val="B9F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CF7AD3"/>
    <w:multiLevelType w:val="hybridMultilevel"/>
    <w:tmpl w:val="FD565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80197"/>
    <w:multiLevelType w:val="hybridMultilevel"/>
    <w:tmpl w:val="5630C89A"/>
    <w:lvl w:ilvl="0" w:tplc="F97CBF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3074B"/>
    <w:multiLevelType w:val="hybridMultilevel"/>
    <w:tmpl w:val="093EE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A651FCD"/>
    <w:multiLevelType w:val="singleLevel"/>
    <w:tmpl w:val="196C84EC"/>
    <w:lvl w:ilvl="0">
      <w:start w:val="1"/>
      <w:numFmt w:val="lowerLetter"/>
      <w:lvlText w:val="%1)"/>
      <w:legacy w:legacy="1" w:legacySpace="0" w:legacyIndent="283"/>
      <w:lvlJc w:val="left"/>
      <w:pPr>
        <w:ind w:left="567" w:hanging="283"/>
      </w:pPr>
    </w:lvl>
  </w:abstractNum>
  <w:abstractNum w:abstractNumId="31" w15:restartNumberingAfterBreak="0">
    <w:nsid w:val="63241D2A"/>
    <w:multiLevelType w:val="hybridMultilevel"/>
    <w:tmpl w:val="F42AA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B711831"/>
    <w:multiLevelType w:val="hybridMultilevel"/>
    <w:tmpl w:val="A5E01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96C0F"/>
    <w:multiLevelType w:val="hybridMultilevel"/>
    <w:tmpl w:val="A5426604"/>
    <w:lvl w:ilvl="0" w:tplc="CA887AF6">
      <w:numFmt w:val="bullet"/>
      <w:lvlText w:val="-"/>
      <w:lvlJc w:val="left"/>
      <w:pPr>
        <w:tabs>
          <w:tab w:val="num" w:pos="360"/>
        </w:tabs>
        <w:ind w:left="360" w:hanging="360"/>
      </w:pPr>
      <w:rPr>
        <w:rFonts w:ascii="Times" w:eastAsia="Batang" w:hAnsi="Times" w:cs="Time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decimal"/>
      <w:lvlText w:val="%6."/>
      <w:lvlJc w:val="left"/>
      <w:pPr>
        <w:tabs>
          <w:tab w:val="num" w:pos="3960"/>
        </w:tabs>
        <w:ind w:left="3960" w:hanging="360"/>
      </w:pPr>
    </w:lvl>
    <w:lvl w:ilvl="6" w:tplc="08090001">
      <w:start w:val="1"/>
      <w:numFmt w:val="decimal"/>
      <w:lvlText w:val="%7."/>
      <w:lvlJc w:val="left"/>
      <w:pPr>
        <w:tabs>
          <w:tab w:val="num" w:pos="4680"/>
        </w:tabs>
        <w:ind w:left="4680" w:hanging="360"/>
      </w:pPr>
    </w:lvl>
    <w:lvl w:ilvl="7" w:tplc="08090003">
      <w:start w:val="1"/>
      <w:numFmt w:val="decimal"/>
      <w:lvlText w:val="%8."/>
      <w:lvlJc w:val="left"/>
      <w:pPr>
        <w:tabs>
          <w:tab w:val="num" w:pos="5400"/>
        </w:tabs>
        <w:ind w:left="5400" w:hanging="360"/>
      </w:pPr>
    </w:lvl>
    <w:lvl w:ilvl="8" w:tplc="08090005">
      <w:start w:val="1"/>
      <w:numFmt w:val="decimal"/>
      <w:lvlText w:val="%9."/>
      <w:lvlJc w:val="left"/>
      <w:pPr>
        <w:tabs>
          <w:tab w:val="num" w:pos="6120"/>
        </w:tabs>
        <w:ind w:left="6120" w:hanging="360"/>
      </w:pPr>
    </w:lvl>
  </w:abstractNum>
  <w:abstractNum w:abstractNumId="35" w15:restartNumberingAfterBreak="0">
    <w:nsid w:val="6F962BF3"/>
    <w:multiLevelType w:val="hybridMultilevel"/>
    <w:tmpl w:val="5900D2B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D2573"/>
    <w:multiLevelType w:val="hybridMultilevel"/>
    <w:tmpl w:val="DE4C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FD27A3"/>
    <w:multiLevelType w:val="hybridMultilevel"/>
    <w:tmpl w:val="A33E2C84"/>
    <w:lvl w:ilvl="0" w:tplc="35685E42">
      <w:start w:val="1"/>
      <w:numFmt w:val="bullet"/>
      <w:lvlText w:val="›"/>
      <w:lvlJc w:val="left"/>
      <w:pPr>
        <w:tabs>
          <w:tab w:val="num" w:pos="720"/>
        </w:tabs>
        <w:ind w:left="720" w:hanging="360"/>
      </w:pPr>
      <w:rPr>
        <w:rFonts w:ascii="Arial" w:hAnsi="Arial" w:cs="Times New Roman" w:hint="default"/>
      </w:rPr>
    </w:lvl>
    <w:lvl w:ilvl="1" w:tplc="719E5C60">
      <w:start w:val="1207"/>
      <w:numFmt w:val="bullet"/>
      <w:lvlText w:val="–"/>
      <w:lvlJc w:val="left"/>
      <w:pPr>
        <w:tabs>
          <w:tab w:val="num" w:pos="1440"/>
        </w:tabs>
        <w:ind w:left="1440" w:hanging="360"/>
      </w:pPr>
      <w:rPr>
        <w:rFonts w:ascii="Ericsson Capital TT" w:hAnsi="Ericsson Capital TT" w:hint="default"/>
      </w:rPr>
    </w:lvl>
    <w:lvl w:ilvl="2" w:tplc="36D4C514">
      <w:start w:val="1207"/>
      <w:numFmt w:val="bullet"/>
      <w:lvlText w:val="›"/>
      <w:lvlJc w:val="left"/>
      <w:pPr>
        <w:tabs>
          <w:tab w:val="num" w:pos="2160"/>
        </w:tabs>
        <w:ind w:left="2160" w:hanging="360"/>
      </w:pPr>
      <w:rPr>
        <w:rFonts w:ascii="Ericsson Capital TT" w:hAnsi="Ericsson Capital TT" w:hint="default"/>
      </w:rPr>
    </w:lvl>
    <w:lvl w:ilvl="3" w:tplc="03924F8A">
      <w:start w:val="1207"/>
      <w:numFmt w:val="bullet"/>
      <w:lvlText w:val="-"/>
      <w:lvlJc w:val="left"/>
      <w:pPr>
        <w:tabs>
          <w:tab w:val="num" w:pos="2880"/>
        </w:tabs>
        <w:ind w:left="2880" w:hanging="360"/>
      </w:pPr>
      <w:rPr>
        <w:rFonts w:ascii="Ericsson Capital TT" w:hAnsi="Ericsson Capital TT" w:hint="default"/>
      </w:rPr>
    </w:lvl>
    <w:lvl w:ilvl="4" w:tplc="DD5CBDEC">
      <w:start w:val="1"/>
      <w:numFmt w:val="bullet"/>
      <w:lvlText w:val="›"/>
      <w:lvlJc w:val="left"/>
      <w:pPr>
        <w:tabs>
          <w:tab w:val="num" w:pos="3600"/>
        </w:tabs>
        <w:ind w:left="3600" w:hanging="360"/>
      </w:pPr>
      <w:rPr>
        <w:rFonts w:ascii="Arial" w:hAnsi="Arial" w:cs="Times New Roman" w:hint="default"/>
      </w:rPr>
    </w:lvl>
    <w:lvl w:ilvl="5" w:tplc="78805BAC">
      <w:start w:val="1"/>
      <w:numFmt w:val="bullet"/>
      <w:lvlText w:val="›"/>
      <w:lvlJc w:val="left"/>
      <w:pPr>
        <w:tabs>
          <w:tab w:val="num" w:pos="4320"/>
        </w:tabs>
        <w:ind w:left="4320" w:hanging="360"/>
      </w:pPr>
      <w:rPr>
        <w:rFonts w:ascii="Arial" w:hAnsi="Arial" w:cs="Times New Roman" w:hint="default"/>
      </w:rPr>
    </w:lvl>
    <w:lvl w:ilvl="6" w:tplc="5BFAF8B4">
      <w:start w:val="1"/>
      <w:numFmt w:val="bullet"/>
      <w:lvlText w:val="›"/>
      <w:lvlJc w:val="left"/>
      <w:pPr>
        <w:tabs>
          <w:tab w:val="num" w:pos="5040"/>
        </w:tabs>
        <w:ind w:left="5040" w:hanging="360"/>
      </w:pPr>
      <w:rPr>
        <w:rFonts w:ascii="Arial" w:hAnsi="Arial" w:cs="Times New Roman" w:hint="default"/>
      </w:rPr>
    </w:lvl>
    <w:lvl w:ilvl="7" w:tplc="BAD87EBE">
      <w:start w:val="1"/>
      <w:numFmt w:val="bullet"/>
      <w:lvlText w:val="›"/>
      <w:lvlJc w:val="left"/>
      <w:pPr>
        <w:tabs>
          <w:tab w:val="num" w:pos="5760"/>
        </w:tabs>
        <w:ind w:left="5760" w:hanging="360"/>
      </w:pPr>
      <w:rPr>
        <w:rFonts w:ascii="Arial" w:hAnsi="Arial" w:cs="Times New Roman" w:hint="default"/>
      </w:rPr>
    </w:lvl>
    <w:lvl w:ilvl="8" w:tplc="B32A05B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8996619"/>
    <w:multiLevelType w:val="hybridMultilevel"/>
    <w:tmpl w:val="2EA4AEE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8CE52C5"/>
    <w:multiLevelType w:val="hybridMultilevel"/>
    <w:tmpl w:val="515EFF4C"/>
    <w:lvl w:ilvl="0" w:tplc="35D23102">
      <w:start w:val="1"/>
      <w:numFmt w:val="bullet"/>
      <w:lvlText w:val="•"/>
      <w:lvlJc w:val="left"/>
      <w:pPr>
        <w:ind w:left="1140" w:hanging="360"/>
      </w:pPr>
      <w:rPr>
        <w:rFonts w:ascii="Arial" w:hAnsi="Arial"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BED18BC"/>
    <w:multiLevelType w:val="multilevel"/>
    <w:tmpl w:val="80CA228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5B13B8"/>
    <w:multiLevelType w:val="hybridMultilevel"/>
    <w:tmpl w:val="65222596"/>
    <w:lvl w:ilvl="0" w:tplc="75908628">
      <w:start w:val="1"/>
      <w:numFmt w:val="bullet"/>
      <w:lvlText w:val="•"/>
      <w:lvlJc w:val="left"/>
      <w:pPr>
        <w:tabs>
          <w:tab w:val="num" w:pos="720"/>
        </w:tabs>
        <w:ind w:left="720" w:hanging="360"/>
      </w:pPr>
      <w:rPr>
        <w:rFonts w:ascii="Arial" w:hAnsi="Arial" w:hint="default"/>
      </w:rPr>
    </w:lvl>
    <w:lvl w:ilvl="1" w:tplc="32B47A50">
      <w:start w:val="5475"/>
      <w:numFmt w:val="bullet"/>
      <w:lvlText w:val="–"/>
      <w:lvlJc w:val="left"/>
      <w:pPr>
        <w:tabs>
          <w:tab w:val="num" w:pos="1440"/>
        </w:tabs>
        <w:ind w:left="1440" w:hanging="360"/>
      </w:pPr>
      <w:rPr>
        <w:rFonts w:ascii="Arial" w:hAnsi="Arial" w:hint="default"/>
      </w:rPr>
    </w:lvl>
    <w:lvl w:ilvl="2" w:tplc="B6E89BC0" w:tentative="1">
      <w:start w:val="1"/>
      <w:numFmt w:val="bullet"/>
      <w:lvlText w:val="•"/>
      <w:lvlJc w:val="left"/>
      <w:pPr>
        <w:tabs>
          <w:tab w:val="num" w:pos="2160"/>
        </w:tabs>
        <w:ind w:left="2160" w:hanging="360"/>
      </w:pPr>
      <w:rPr>
        <w:rFonts w:ascii="Arial" w:hAnsi="Arial" w:hint="default"/>
      </w:rPr>
    </w:lvl>
    <w:lvl w:ilvl="3" w:tplc="BD92238E" w:tentative="1">
      <w:start w:val="1"/>
      <w:numFmt w:val="bullet"/>
      <w:lvlText w:val="•"/>
      <w:lvlJc w:val="left"/>
      <w:pPr>
        <w:tabs>
          <w:tab w:val="num" w:pos="2880"/>
        </w:tabs>
        <w:ind w:left="2880" w:hanging="360"/>
      </w:pPr>
      <w:rPr>
        <w:rFonts w:ascii="Arial" w:hAnsi="Arial" w:hint="default"/>
      </w:rPr>
    </w:lvl>
    <w:lvl w:ilvl="4" w:tplc="76C049F4" w:tentative="1">
      <w:start w:val="1"/>
      <w:numFmt w:val="bullet"/>
      <w:lvlText w:val="•"/>
      <w:lvlJc w:val="left"/>
      <w:pPr>
        <w:tabs>
          <w:tab w:val="num" w:pos="3600"/>
        </w:tabs>
        <w:ind w:left="3600" w:hanging="360"/>
      </w:pPr>
      <w:rPr>
        <w:rFonts w:ascii="Arial" w:hAnsi="Arial" w:hint="default"/>
      </w:rPr>
    </w:lvl>
    <w:lvl w:ilvl="5" w:tplc="8B00159C" w:tentative="1">
      <w:start w:val="1"/>
      <w:numFmt w:val="bullet"/>
      <w:lvlText w:val="•"/>
      <w:lvlJc w:val="left"/>
      <w:pPr>
        <w:tabs>
          <w:tab w:val="num" w:pos="4320"/>
        </w:tabs>
        <w:ind w:left="4320" w:hanging="360"/>
      </w:pPr>
      <w:rPr>
        <w:rFonts w:ascii="Arial" w:hAnsi="Arial" w:hint="default"/>
      </w:rPr>
    </w:lvl>
    <w:lvl w:ilvl="6" w:tplc="62908F00" w:tentative="1">
      <w:start w:val="1"/>
      <w:numFmt w:val="bullet"/>
      <w:lvlText w:val="•"/>
      <w:lvlJc w:val="left"/>
      <w:pPr>
        <w:tabs>
          <w:tab w:val="num" w:pos="5040"/>
        </w:tabs>
        <w:ind w:left="5040" w:hanging="360"/>
      </w:pPr>
      <w:rPr>
        <w:rFonts w:ascii="Arial" w:hAnsi="Arial" w:hint="default"/>
      </w:rPr>
    </w:lvl>
    <w:lvl w:ilvl="7" w:tplc="5950D516" w:tentative="1">
      <w:start w:val="1"/>
      <w:numFmt w:val="bullet"/>
      <w:lvlText w:val="•"/>
      <w:lvlJc w:val="left"/>
      <w:pPr>
        <w:tabs>
          <w:tab w:val="num" w:pos="5760"/>
        </w:tabs>
        <w:ind w:left="5760" w:hanging="360"/>
      </w:pPr>
      <w:rPr>
        <w:rFonts w:ascii="Arial" w:hAnsi="Arial" w:hint="default"/>
      </w:rPr>
    </w:lvl>
    <w:lvl w:ilvl="8" w:tplc="6A84CF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41"/>
  </w:num>
  <w:num w:numId="2">
    <w:abstractNumId w:val="29"/>
  </w:num>
  <w:num w:numId="3">
    <w:abstractNumId w:val="42"/>
  </w:num>
  <w:num w:numId="4">
    <w:abstractNumId w:val="25"/>
  </w:num>
  <w:num w:numId="5">
    <w:abstractNumId w:val="10"/>
  </w:num>
  <w:num w:numId="6">
    <w:abstractNumId w:val="2"/>
  </w:num>
  <w:num w:numId="7">
    <w:abstractNumId w:val="33"/>
  </w:num>
  <w:num w:numId="8">
    <w:abstractNumId w:val="3"/>
  </w:num>
  <w:num w:numId="9">
    <w:abstractNumId w:val="1"/>
  </w:num>
  <w:num w:numId="10">
    <w:abstractNumId w:val="9"/>
  </w:num>
  <w:num w:numId="11">
    <w:abstractNumId w:val="38"/>
  </w:num>
  <w:num w:numId="12">
    <w:abstractNumId w:val="14"/>
  </w:num>
  <w:num w:numId="13">
    <w:abstractNumId w:val="5"/>
  </w:num>
  <w:num w:numId="14">
    <w:abstractNumId w:val="41"/>
  </w:num>
  <w:num w:numId="15">
    <w:abstractNumId w:val="44"/>
  </w:num>
  <w:num w:numId="16">
    <w:abstractNumId w:val="11"/>
  </w:num>
  <w:num w:numId="17">
    <w:abstractNumId w:val="29"/>
  </w:num>
  <w:num w:numId="18">
    <w:abstractNumId w:val="22"/>
  </w:num>
  <w:num w:numId="19">
    <w:abstractNumId w:val="4"/>
  </w:num>
  <w:num w:numId="20">
    <w:abstractNumId w:val="26"/>
  </w:num>
  <w:num w:numId="21">
    <w:abstractNumId w:val="29"/>
  </w:num>
  <w:num w:numId="22">
    <w:abstractNumId w:val="18"/>
  </w:num>
  <w:num w:numId="23">
    <w:abstractNumId w:val="6"/>
  </w:num>
  <w:num w:numId="24">
    <w:abstractNumId w:val="27"/>
  </w:num>
  <w:num w:numId="25">
    <w:abstractNumId w:val="29"/>
  </w:num>
  <w:num w:numId="26">
    <w:abstractNumId w:val="29"/>
  </w:num>
  <w:num w:numId="27">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7"/>
  </w:num>
  <w:num w:numId="30">
    <w:abstractNumId w:val="23"/>
  </w:num>
  <w:num w:numId="31">
    <w:abstractNumId w:val="21"/>
  </w:num>
  <w:num w:numId="32">
    <w:abstractNumId w:val="7"/>
  </w:num>
  <w:num w:numId="33">
    <w:abstractNumId w:val="36"/>
  </w:num>
  <w:num w:numId="34">
    <w:abstractNumId w:val="17"/>
  </w:num>
  <w:num w:numId="35">
    <w:abstractNumId w:val="32"/>
  </w:num>
  <w:num w:numId="36">
    <w:abstractNumId w:val="29"/>
  </w:num>
  <w:num w:numId="37">
    <w:abstractNumId w:val="29"/>
  </w:num>
  <w:num w:numId="38">
    <w:abstractNumId w:val="29"/>
  </w:num>
  <w:num w:numId="39">
    <w:abstractNumId w:val="29"/>
  </w:num>
  <w:num w:numId="40">
    <w:abstractNumId w:val="29"/>
  </w:num>
  <w:num w:numId="41">
    <w:abstractNumId w:val="13"/>
  </w:num>
  <w:num w:numId="42">
    <w:abstractNumId w:val="31"/>
  </w:num>
  <w:num w:numId="43">
    <w:abstractNumId w:val="24"/>
  </w:num>
  <w:num w:numId="44">
    <w:abstractNumId w:val="8"/>
  </w:num>
  <w:num w:numId="45">
    <w:abstractNumId w:val="35"/>
  </w:num>
  <w:num w:numId="46">
    <w:abstractNumId w:val="0"/>
  </w:num>
  <w:num w:numId="47">
    <w:abstractNumId w:val="15"/>
  </w:num>
  <w:num w:numId="48">
    <w:abstractNumId w:val="43"/>
  </w:num>
  <w:num w:numId="49">
    <w:abstractNumId w:val="19"/>
  </w:num>
  <w:num w:numId="50">
    <w:abstractNumId w:val="16"/>
  </w:num>
  <w:num w:numId="51">
    <w:abstractNumId w:val="30"/>
  </w:num>
  <w:num w:numId="52">
    <w:abstractNumId w:val="39"/>
  </w:num>
  <w:num w:numId="53">
    <w:abstractNumId w:val="12"/>
  </w:num>
  <w:num w:numId="54">
    <w:abstractNumId w:val="40"/>
  </w:num>
  <w:num w:numId="55">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DFC"/>
    <w:rsid w:val="00001015"/>
    <w:rsid w:val="000010C7"/>
    <w:rsid w:val="00001222"/>
    <w:rsid w:val="0000185E"/>
    <w:rsid w:val="0000241D"/>
    <w:rsid w:val="00002F42"/>
    <w:rsid w:val="00002FF1"/>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0B5"/>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6C1"/>
    <w:rsid w:val="00033B5E"/>
    <w:rsid w:val="00034431"/>
    <w:rsid w:val="00034C5F"/>
    <w:rsid w:val="00034DA5"/>
    <w:rsid w:val="000351B3"/>
    <w:rsid w:val="00036AD6"/>
    <w:rsid w:val="000370DA"/>
    <w:rsid w:val="000372AB"/>
    <w:rsid w:val="000379E8"/>
    <w:rsid w:val="00040094"/>
    <w:rsid w:val="0004035C"/>
    <w:rsid w:val="000408DB"/>
    <w:rsid w:val="00040C36"/>
    <w:rsid w:val="0004272B"/>
    <w:rsid w:val="00043085"/>
    <w:rsid w:val="00043570"/>
    <w:rsid w:val="000435B0"/>
    <w:rsid w:val="00043D7E"/>
    <w:rsid w:val="00044117"/>
    <w:rsid w:val="00044183"/>
    <w:rsid w:val="00044A95"/>
    <w:rsid w:val="00045F9C"/>
    <w:rsid w:val="000462E8"/>
    <w:rsid w:val="000468AA"/>
    <w:rsid w:val="00046AD7"/>
    <w:rsid w:val="00046C4F"/>
    <w:rsid w:val="00047555"/>
    <w:rsid w:val="000504A4"/>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49B"/>
    <w:rsid w:val="000566A3"/>
    <w:rsid w:val="00056A95"/>
    <w:rsid w:val="00056CCF"/>
    <w:rsid w:val="00057980"/>
    <w:rsid w:val="00057F36"/>
    <w:rsid w:val="00060AD1"/>
    <w:rsid w:val="00060C20"/>
    <w:rsid w:val="00061AE3"/>
    <w:rsid w:val="00061C64"/>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704B"/>
    <w:rsid w:val="00087593"/>
    <w:rsid w:val="00087C42"/>
    <w:rsid w:val="000902A4"/>
    <w:rsid w:val="00090746"/>
    <w:rsid w:val="00091C00"/>
    <w:rsid w:val="00092070"/>
    <w:rsid w:val="00092B3B"/>
    <w:rsid w:val="0009328A"/>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D06"/>
    <w:rsid w:val="000B6E10"/>
    <w:rsid w:val="000B76CA"/>
    <w:rsid w:val="000B7EDB"/>
    <w:rsid w:val="000C070A"/>
    <w:rsid w:val="000C0DF5"/>
    <w:rsid w:val="000C0FAC"/>
    <w:rsid w:val="000C0FCA"/>
    <w:rsid w:val="000C1324"/>
    <w:rsid w:val="000C1DCB"/>
    <w:rsid w:val="000C2160"/>
    <w:rsid w:val="000C2638"/>
    <w:rsid w:val="000C29BB"/>
    <w:rsid w:val="000C3999"/>
    <w:rsid w:val="000C3C89"/>
    <w:rsid w:val="000C3FDD"/>
    <w:rsid w:val="000C4183"/>
    <w:rsid w:val="000C474D"/>
    <w:rsid w:val="000C5285"/>
    <w:rsid w:val="000C52D1"/>
    <w:rsid w:val="000C53FF"/>
    <w:rsid w:val="000C546B"/>
    <w:rsid w:val="000C5A59"/>
    <w:rsid w:val="000C5A99"/>
    <w:rsid w:val="000C5AAA"/>
    <w:rsid w:val="000C5E98"/>
    <w:rsid w:val="000C6BCD"/>
    <w:rsid w:val="000C7220"/>
    <w:rsid w:val="000C7CBA"/>
    <w:rsid w:val="000C7D17"/>
    <w:rsid w:val="000C7FDB"/>
    <w:rsid w:val="000D0814"/>
    <w:rsid w:val="000D0E2A"/>
    <w:rsid w:val="000D10A3"/>
    <w:rsid w:val="000D2210"/>
    <w:rsid w:val="000D2B93"/>
    <w:rsid w:val="000D2E7F"/>
    <w:rsid w:val="000D2EBD"/>
    <w:rsid w:val="000D2FDC"/>
    <w:rsid w:val="000D3617"/>
    <w:rsid w:val="000D376F"/>
    <w:rsid w:val="000D3DA9"/>
    <w:rsid w:val="000D470F"/>
    <w:rsid w:val="000D47A5"/>
    <w:rsid w:val="000D4E2B"/>
    <w:rsid w:val="000D4F22"/>
    <w:rsid w:val="000D50D5"/>
    <w:rsid w:val="000D5B89"/>
    <w:rsid w:val="000D666C"/>
    <w:rsid w:val="000D7646"/>
    <w:rsid w:val="000E016E"/>
    <w:rsid w:val="000E0653"/>
    <w:rsid w:val="000E0A21"/>
    <w:rsid w:val="000E0E56"/>
    <w:rsid w:val="000E1226"/>
    <w:rsid w:val="000E1DE3"/>
    <w:rsid w:val="000E1F88"/>
    <w:rsid w:val="000E2ABB"/>
    <w:rsid w:val="000E2BE3"/>
    <w:rsid w:val="000E2FEC"/>
    <w:rsid w:val="000E3121"/>
    <w:rsid w:val="000E3462"/>
    <w:rsid w:val="000E44C2"/>
    <w:rsid w:val="000E4B76"/>
    <w:rsid w:val="000E4FA3"/>
    <w:rsid w:val="000E5370"/>
    <w:rsid w:val="000E5C4A"/>
    <w:rsid w:val="000E6033"/>
    <w:rsid w:val="000E65DB"/>
    <w:rsid w:val="000E6A03"/>
    <w:rsid w:val="000E6C23"/>
    <w:rsid w:val="000E7033"/>
    <w:rsid w:val="000E71FA"/>
    <w:rsid w:val="000E76A6"/>
    <w:rsid w:val="000E7C7D"/>
    <w:rsid w:val="000E7D41"/>
    <w:rsid w:val="000F0A55"/>
    <w:rsid w:val="000F0F01"/>
    <w:rsid w:val="000F1372"/>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FC1"/>
    <w:rsid w:val="000F73DA"/>
    <w:rsid w:val="000F7417"/>
    <w:rsid w:val="000F78D6"/>
    <w:rsid w:val="0010046A"/>
    <w:rsid w:val="00100659"/>
    <w:rsid w:val="001006D4"/>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F41"/>
    <w:rsid w:val="00135352"/>
    <w:rsid w:val="0013555D"/>
    <w:rsid w:val="00135782"/>
    <w:rsid w:val="00135A26"/>
    <w:rsid w:val="00135FB1"/>
    <w:rsid w:val="0013645D"/>
    <w:rsid w:val="00136639"/>
    <w:rsid w:val="00136E05"/>
    <w:rsid w:val="00137C09"/>
    <w:rsid w:val="00137E59"/>
    <w:rsid w:val="00140DB3"/>
    <w:rsid w:val="00140DE5"/>
    <w:rsid w:val="0014101B"/>
    <w:rsid w:val="001413CC"/>
    <w:rsid w:val="0014142D"/>
    <w:rsid w:val="00141645"/>
    <w:rsid w:val="00141878"/>
    <w:rsid w:val="00141B7D"/>
    <w:rsid w:val="00141CBE"/>
    <w:rsid w:val="001425F2"/>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424"/>
    <w:rsid w:val="0015086E"/>
    <w:rsid w:val="00150D0D"/>
    <w:rsid w:val="00151774"/>
    <w:rsid w:val="00152419"/>
    <w:rsid w:val="00152592"/>
    <w:rsid w:val="00152AAF"/>
    <w:rsid w:val="00152B55"/>
    <w:rsid w:val="00153503"/>
    <w:rsid w:val="00153B2D"/>
    <w:rsid w:val="00153E38"/>
    <w:rsid w:val="00154647"/>
    <w:rsid w:val="001600F5"/>
    <w:rsid w:val="00160F79"/>
    <w:rsid w:val="00161332"/>
    <w:rsid w:val="001619FB"/>
    <w:rsid w:val="00161F9E"/>
    <w:rsid w:val="00162620"/>
    <w:rsid w:val="001627EF"/>
    <w:rsid w:val="0016380C"/>
    <w:rsid w:val="00163CB3"/>
    <w:rsid w:val="00163CDB"/>
    <w:rsid w:val="00163F00"/>
    <w:rsid w:val="00164FF6"/>
    <w:rsid w:val="0016526A"/>
    <w:rsid w:val="00167411"/>
    <w:rsid w:val="0016741D"/>
    <w:rsid w:val="00167B96"/>
    <w:rsid w:val="00170500"/>
    <w:rsid w:val="00170CD8"/>
    <w:rsid w:val="0017116E"/>
    <w:rsid w:val="001713BA"/>
    <w:rsid w:val="0017199C"/>
    <w:rsid w:val="00172E01"/>
    <w:rsid w:val="00172E8A"/>
    <w:rsid w:val="00172EA1"/>
    <w:rsid w:val="00173045"/>
    <w:rsid w:val="001736C9"/>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57"/>
    <w:rsid w:val="0018007E"/>
    <w:rsid w:val="00180944"/>
    <w:rsid w:val="001814E9"/>
    <w:rsid w:val="0018297E"/>
    <w:rsid w:val="00182E93"/>
    <w:rsid w:val="00182ECE"/>
    <w:rsid w:val="00183046"/>
    <w:rsid w:val="001836EC"/>
    <w:rsid w:val="00183738"/>
    <w:rsid w:val="00183D0B"/>
    <w:rsid w:val="00183E34"/>
    <w:rsid w:val="00184124"/>
    <w:rsid w:val="001844C2"/>
    <w:rsid w:val="0018469C"/>
    <w:rsid w:val="0018485D"/>
    <w:rsid w:val="00184921"/>
    <w:rsid w:val="00184A78"/>
    <w:rsid w:val="00184C3E"/>
    <w:rsid w:val="001852F0"/>
    <w:rsid w:val="0018722E"/>
    <w:rsid w:val="001873A0"/>
    <w:rsid w:val="001875A6"/>
    <w:rsid w:val="001876A1"/>
    <w:rsid w:val="00187A1A"/>
    <w:rsid w:val="00187FFC"/>
    <w:rsid w:val="00190927"/>
    <w:rsid w:val="00190B9A"/>
    <w:rsid w:val="00190C5C"/>
    <w:rsid w:val="00190CA0"/>
    <w:rsid w:val="00191495"/>
    <w:rsid w:val="0019160F"/>
    <w:rsid w:val="00191A8E"/>
    <w:rsid w:val="00192490"/>
    <w:rsid w:val="00192594"/>
    <w:rsid w:val="00192794"/>
    <w:rsid w:val="00193498"/>
    <w:rsid w:val="001935F2"/>
    <w:rsid w:val="001940C9"/>
    <w:rsid w:val="001942EF"/>
    <w:rsid w:val="001945D5"/>
    <w:rsid w:val="00194778"/>
    <w:rsid w:val="00194A0C"/>
    <w:rsid w:val="00195049"/>
    <w:rsid w:val="001951AD"/>
    <w:rsid w:val="001953BE"/>
    <w:rsid w:val="001954B4"/>
    <w:rsid w:val="0019564F"/>
    <w:rsid w:val="001958AC"/>
    <w:rsid w:val="00195CFF"/>
    <w:rsid w:val="00195D0B"/>
    <w:rsid w:val="00196F57"/>
    <w:rsid w:val="001970B1"/>
    <w:rsid w:val="001A011B"/>
    <w:rsid w:val="001A01C5"/>
    <w:rsid w:val="001A0658"/>
    <w:rsid w:val="001A0810"/>
    <w:rsid w:val="001A0A22"/>
    <w:rsid w:val="001A1B76"/>
    <w:rsid w:val="001A1C3E"/>
    <w:rsid w:val="001A1D82"/>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41B"/>
    <w:rsid w:val="001B47AD"/>
    <w:rsid w:val="001B4856"/>
    <w:rsid w:val="001B490C"/>
    <w:rsid w:val="001B5073"/>
    <w:rsid w:val="001B5A2A"/>
    <w:rsid w:val="001B5DF4"/>
    <w:rsid w:val="001B5EE4"/>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38F7"/>
    <w:rsid w:val="001D3E96"/>
    <w:rsid w:val="001D439C"/>
    <w:rsid w:val="001D49A9"/>
    <w:rsid w:val="001D4A38"/>
    <w:rsid w:val="001D4D27"/>
    <w:rsid w:val="001D5308"/>
    <w:rsid w:val="001D5340"/>
    <w:rsid w:val="001D5C85"/>
    <w:rsid w:val="001D5F6E"/>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EDB"/>
    <w:rsid w:val="001F5588"/>
    <w:rsid w:val="001F593C"/>
    <w:rsid w:val="001F5B8F"/>
    <w:rsid w:val="001F6021"/>
    <w:rsid w:val="001F6AAA"/>
    <w:rsid w:val="001F6DEF"/>
    <w:rsid w:val="001F713F"/>
    <w:rsid w:val="001F7141"/>
    <w:rsid w:val="001F71D4"/>
    <w:rsid w:val="001F74AA"/>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5D4"/>
    <w:rsid w:val="00210865"/>
    <w:rsid w:val="00210A43"/>
    <w:rsid w:val="00210B5F"/>
    <w:rsid w:val="00210D58"/>
    <w:rsid w:val="00211132"/>
    <w:rsid w:val="0021127F"/>
    <w:rsid w:val="00211621"/>
    <w:rsid w:val="00211983"/>
    <w:rsid w:val="00211BC5"/>
    <w:rsid w:val="0021237D"/>
    <w:rsid w:val="00212BEB"/>
    <w:rsid w:val="002133D7"/>
    <w:rsid w:val="00213BAF"/>
    <w:rsid w:val="002148FB"/>
    <w:rsid w:val="00214B6E"/>
    <w:rsid w:val="00214F27"/>
    <w:rsid w:val="00215EAA"/>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B0C"/>
    <w:rsid w:val="00224837"/>
    <w:rsid w:val="00225355"/>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5393"/>
    <w:rsid w:val="002658A1"/>
    <w:rsid w:val="002659F7"/>
    <w:rsid w:val="00265A78"/>
    <w:rsid w:val="002669D5"/>
    <w:rsid w:val="002669E9"/>
    <w:rsid w:val="0026773C"/>
    <w:rsid w:val="00267E6E"/>
    <w:rsid w:val="002701E1"/>
    <w:rsid w:val="00270BDC"/>
    <w:rsid w:val="002711B7"/>
    <w:rsid w:val="002718BD"/>
    <w:rsid w:val="00271D56"/>
    <w:rsid w:val="00271EEA"/>
    <w:rsid w:val="002724D9"/>
    <w:rsid w:val="00272951"/>
    <w:rsid w:val="0027313D"/>
    <w:rsid w:val="00273246"/>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F9E"/>
    <w:rsid w:val="00285278"/>
    <w:rsid w:val="0028535B"/>
    <w:rsid w:val="00286631"/>
    <w:rsid w:val="00286F80"/>
    <w:rsid w:val="00286F85"/>
    <w:rsid w:val="002872BC"/>
    <w:rsid w:val="00287BD9"/>
    <w:rsid w:val="0029022C"/>
    <w:rsid w:val="002902E2"/>
    <w:rsid w:val="00291CC4"/>
    <w:rsid w:val="0029229B"/>
    <w:rsid w:val="0029229E"/>
    <w:rsid w:val="002929BB"/>
    <w:rsid w:val="00293063"/>
    <w:rsid w:val="00293080"/>
    <w:rsid w:val="002933A1"/>
    <w:rsid w:val="002937DC"/>
    <w:rsid w:val="002942BB"/>
    <w:rsid w:val="0029444F"/>
    <w:rsid w:val="00295053"/>
    <w:rsid w:val="00296051"/>
    <w:rsid w:val="0029668D"/>
    <w:rsid w:val="0029685B"/>
    <w:rsid w:val="00296964"/>
    <w:rsid w:val="00296A8A"/>
    <w:rsid w:val="00296CDC"/>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409E"/>
    <w:rsid w:val="002A4738"/>
    <w:rsid w:val="002A4A9A"/>
    <w:rsid w:val="002A4D06"/>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A2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141"/>
    <w:rsid w:val="002C351B"/>
    <w:rsid w:val="002C36C2"/>
    <w:rsid w:val="002C38FC"/>
    <w:rsid w:val="002C3A55"/>
    <w:rsid w:val="002C41E7"/>
    <w:rsid w:val="002C46A4"/>
    <w:rsid w:val="002C500E"/>
    <w:rsid w:val="002C502D"/>
    <w:rsid w:val="002C51B7"/>
    <w:rsid w:val="002C64AD"/>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6F4F"/>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3DF"/>
    <w:rsid w:val="002E54F8"/>
    <w:rsid w:val="002E5CCF"/>
    <w:rsid w:val="002E6DA9"/>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7A7"/>
    <w:rsid w:val="00303A6E"/>
    <w:rsid w:val="0030425B"/>
    <w:rsid w:val="00304BA3"/>
    <w:rsid w:val="0030524C"/>
    <w:rsid w:val="0030587E"/>
    <w:rsid w:val="00305DD6"/>
    <w:rsid w:val="00305EA2"/>
    <w:rsid w:val="00306885"/>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DA"/>
    <w:rsid w:val="00341E58"/>
    <w:rsid w:val="00342000"/>
    <w:rsid w:val="0034259C"/>
    <w:rsid w:val="00342623"/>
    <w:rsid w:val="0034290D"/>
    <w:rsid w:val="00343D55"/>
    <w:rsid w:val="00344E49"/>
    <w:rsid w:val="00344F72"/>
    <w:rsid w:val="00345202"/>
    <w:rsid w:val="0034562C"/>
    <w:rsid w:val="003456EF"/>
    <w:rsid w:val="003459D9"/>
    <w:rsid w:val="00345C89"/>
    <w:rsid w:val="003462D5"/>
    <w:rsid w:val="0034665D"/>
    <w:rsid w:val="00346C6F"/>
    <w:rsid w:val="00346D94"/>
    <w:rsid w:val="00347089"/>
    <w:rsid w:val="00347D98"/>
    <w:rsid w:val="00351212"/>
    <w:rsid w:val="00351468"/>
    <w:rsid w:val="00352A4F"/>
    <w:rsid w:val="00353184"/>
    <w:rsid w:val="00353A6D"/>
    <w:rsid w:val="00354DE2"/>
    <w:rsid w:val="00354E0C"/>
    <w:rsid w:val="00354F0D"/>
    <w:rsid w:val="003550D8"/>
    <w:rsid w:val="00355B78"/>
    <w:rsid w:val="00355CE6"/>
    <w:rsid w:val="0035632A"/>
    <w:rsid w:val="00356841"/>
    <w:rsid w:val="00356B9A"/>
    <w:rsid w:val="00356EE5"/>
    <w:rsid w:val="00357392"/>
    <w:rsid w:val="00357C52"/>
    <w:rsid w:val="00357D34"/>
    <w:rsid w:val="003601A9"/>
    <w:rsid w:val="003607EF"/>
    <w:rsid w:val="00360BFD"/>
    <w:rsid w:val="0036116E"/>
    <w:rsid w:val="003617AA"/>
    <w:rsid w:val="00361A43"/>
    <w:rsid w:val="00363492"/>
    <w:rsid w:val="003640FE"/>
    <w:rsid w:val="00364648"/>
    <w:rsid w:val="00365499"/>
    <w:rsid w:val="00365ACB"/>
    <w:rsid w:val="00365BEF"/>
    <w:rsid w:val="0036664E"/>
    <w:rsid w:val="0036670C"/>
    <w:rsid w:val="00366DB5"/>
    <w:rsid w:val="0036765C"/>
    <w:rsid w:val="00367C91"/>
    <w:rsid w:val="0037029C"/>
    <w:rsid w:val="00370D20"/>
    <w:rsid w:val="00371B3B"/>
    <w:rsid w:val="00371DCC"/>
    <w:rsid w:val="0037215A"/>
    <w:rsid w:val="00372352"/>
    <w:rsid w:val="0037251E"/>
    <w:rsid w:val="00372550"/>
    <w:rsid w:val="0037261E"/>
    <w:rsid w:val="003728FC"/>
    <w:rsid w:val="00372A39"/>
    <w:rsid w:val="0037422F"/>
    <w:rsid w:val="00374901"/>
    <w:rsid w:val="00374AB4"/>
    <w:rsid w:val="00375EF3"/>
    <w:rsid w:val="00375FF6"/>
    <w:rsid w:val="00376131"/>
    <w:rsid w:val="00376D76"/>
    <w:rsid w:val="0037726E"/>
    <w:rsid w:val="0037738D"/>
    <w:rsid w:val="003774B2"/>
    <w:rsid w:val="003775A0"/>
    <w:rsid w:val="00377EA3"/>
    <w:rsid w:val="00380167"/>
    <w:rsid w:val="0038038A"/>
    <w:rsid w:val="003807D3"/>
    <w:rsid w:val="00380C44"/>
    <w:rsid w:val="00381793"/>
    <w:rsid w:val="00381DB1"/>
    <w:rsid w:val="00381FD9"/>
    <w:rsid w:val="00382112"/>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D7"/>
    <w:rsid w:val="003A5722"/>
    <w:rsid w:val="003A588C"/>
    <w:rsid w:val="003A58B7"/>
    <w:rsid w:val="003A5ABF"/>
    <w:rsid w:val="003A5C2B"/>
    <w:rsid w:val="003A5E7B"/>
    <w:rsid w:val="003A67A5"/>
    <w:rsid w:val="003A6884"/>
    <w:rsid w:val="003A6EBA"/>
    <w:rsid w:val="003A7527"/>
    <w:rsid w:val="003A7B46"/>
    <w:rsid w:val="003A7EC5"/>
    <w:rsid w:val="003A7F6F"/>
    <w:rsid w:val="003B02C3"/>
    <w:rsid w:val="003B0A55"/>
    <w:rsid w:val="003B1223"/>
    <w:rsid w:val="003B1547"/>
    <w:rsid w:val="003B198B"/>
    <w:rsid w:val="003B1ADB"/>
    <w:rsid w:val="003B20AE"/>
    <w:rsid w:val="003B27C6"/>
    <w:rsid w:val="003B2B51"/>
    <w:rsid w:val="003B30B0"/>
    <w:rsid w:val="003B389F"/>
    <w:rsid w:val="003B3AB8"/>
    <w:rsid w:val="003B3FBD"/>
    <w:rsid w:val="003B4139"/>
    <w:rsid w:val="003B52EB"/>
    <w:rsid w:val="003B5C57"/>
    <w:rsid w:val="003B6497"/>
    <w:rsid w:val="003B76DF"/>
    <w:rsid w:val="003B76E8"/>
    <w:rsid w:val="003B7935"/>
    <w:rsid w:val="003B7A5F"/>
    <w:rsid w:val="003B7AA0"/>
    <w:rsid w:val="003B7B18"/>
    <w:rsid w:val="003C0115"/>
    <w:rsid w:val="003C01D8"/>
    <w:rsid w:val="003C03E9"/>
    <w:rsid w:val="003C0512"/>
    <w:rsid w:val="003C0643"/>
    <w:rsid w:val="003C0DB0"/>
    <w:rsid w:val="003C238F"/>
    <w:rsid w:val="003C2B75"/>
    <w:rsid w:val="003C2DCE"/>
    <w:rsid w:val="003C2DFF"/>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A4E"/>
    <w:rsid w:val="00407FD4"/>
    <w:rsid w:val="004102A7"/>
    <w:rsid w:val="00410384"/>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61A7"/>
    <w:rsid w:val="0042693B"/>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271"/>
    <w:rsid w:val="004473F5"/>
    <w:rsid w:val="0044794C"/>
    <w:rsid w:val="00447AE3"/>
    <w:rsid w:val="00447EDB"/>
    <w:rsid w:val="00450098"/>
    <w:rsid w:val="004501A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802"/>
    <w:rsid w:val="004774C3"/>
    <w:rsid w:val="0047750A"/>
    <w:rsid w:val="00477800"/>
    <w:rsid w:val="00477A3F"/>
    <w:rsid w:val="00477E81"/>
    <w:rsid w:val="00477FF2"/>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E56"/>
    <w:rsid w:val="004902B1"/>
    <w:rsid w:val="00490406"/>
    <w:rsid w:val="004911E7"/>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296"/>
    <w:rsid w:val="004A45EA"/>
    <w:rsid w:val="004A45FE"/>
    <w:rsid w:val="004A5561"/>
    <w:rsid w:val="004A57F7"/>
    <w:rsid w:val="004A5EDE"/>
    <w:rsid w:val="004A61CB"/>
    <w:rsid w:val="004A6294"/>
    <w:rsid w:val="004A6C27"/>
    <w:rsid w:val="004A79D5"/>
    <w:rsid w:val="004B02AF"/>
    <w:rsid w:val="004B095C"/>
    <w:rsid w:val="004B09F1"/>
    <w:rsid w:val="004B0E80"/>
    <w:rsid w:val="004B150F"/>
    <w:rsid w:val="004B1B6D"/>
    <w:rsid w:val="004B1F16"/>
    <w:rsid w:val="004B2E50"/>
    <w:rsid w:val="004B329F"/>
    <w:rsid w:val="004B357C"/>
    <w:rsid w:val="004B3663"/>
    <w:rsid w:val="004B396A"/>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4EE"/>
    <w:rsid w:val="004C4513"/>
    <w:rsid w:val="004C4785"/>
    <w:rsid w:val="004C4AC0"/>
    <w:rsid w:val="004C503B"/>
    <w:rsid w:val="004C5E7D"/>
    <w:rsid w:val="004C627B"/>
    <w:rsid w:val="004C6585"/>
    <w:rsid w:val="004C6830"/>
    <w:rsid w:val="004C71BF"/>
    <w:rsid w:val="004C791B"/>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0F5A"/>
    <w:rsid w:val="004E1117"/>
    <w:rsid w:val="004E1C99"/>
    <w:rsid w:val="004E21EA"/>
    <w:rsid w:val="004E2282"/>
    <w:rsid w:val="004E2A8E"/>
    <w:rsid w:val="004E3018"/>
    <w:rsid w:val="004E3557"/>
    <w:rsid w:val="004E36CC"/>
    <w:rsid w:val="004E3AFB"/>
    <w:rsid w:val="004E3CB6"/>
    <w:rsid w:val="004E3F86"/>
    <w:rsid w:val="004E3FE1"/>
    <w:rsid w:val="004E410A"/>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0D2"/>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E1F"/>
    <w:rsid w:val="005200A3"/>
    <w:rsid w:val="0052016E"/>
    <w:rsid w:val="00520263"/>
    <w:rsid w:val="005211CF"/>
    <w:rsid w:val="005214C7"/>
    <w:rsid w:val="00521707"/>
    <w:rsid w:val="005217EB"/>
    <w:rsid w:val="00521FB1"/>
    <w:rsid w:val="005220F2"/>
    <w:rsid w:val="00522DCF"/>
    <w:rsid w:val="00522F69"/>
    <w:rsid w:val="00522FAC"/>
    <w:rsid w:val="0052382A"/>
    <w:rsid w:val="00523BD5"/>
    <w:rsid w:val="00524356"/>
    <w:rsid w:val="00524488"/>
    <w:rsid w:val="00524A7D"/>
    <w:rsid w:val="00524BF9"/>
    <w:rsid w:val="00525362"/>
    <w:rsid w:val="00525CA4"/>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FBE"/>
    <w:rsid w:val="00535204"/>
    <w:rsid w:val="00535335"/>
    <w:rsid w:val="0053557F"/>
    <w:rsid w:val="00536484"/>
    <w:rsid w:val="005366E2"/>
    <w:rsid w:val="00536B7D"/>
    <w:rsid w:val="00536F81"/>
    <w:rsid w:val="00537536"/>
    <w:rsid w:val="0053789B"/>
    <w:rsid w:val="00537C4A"/>
    <w:rsid w:val="00537C58"/>
    <w:rsid w:val="00537E16"/>
    <w:rsid w:val="00540A85"/>
    <w:rsid w:val="0054218C"/>
    <w:rsid w:val="00542BB8"/>
    <w:rsid w:val="00542C06"/>
    <w:rsid w:val="00542E4F"/>
    <w:rsid w:val="00543451"/>
    <w:rsid w:val="00543764"/>
    <w:rsid w:val="00543E9D"/>
    <w:rsid w:val="00544425"/>
    <w:rsid w:val="005448D6"/>
    <w:rsid w:val="005449B3"/>
    <w:rsid w:val="0054531E"/>
    <w:rsid w:val="00545AF5"/>
    <w:rsid w:val="00546646"/>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5FA"/>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58C"/>
    <w:rsid w:val="00571F8A"/>
    <w:rsid w:val="005726A3"/>
    <w:rsid w:val="00572971"/>
    <w:rsid w:val="00572A0A"/>
    <w:rsid w:val="00573244"/>
    <w:rsid w:val="00573472"/>
    <w:rsid w:val="00573717"/>
    <w:rsid w:val="0057509D"/>
    <w:rsid w:val="005755B1"/>
    <w:rsid w:val="005755D4"/>
    <w:rsid w:val="00575F36"/>
    <w:rsid w:val="00576A2C"/>
    <w:rsid w:val="00577776"/>
    <w:rsid w:val="0057799C"/>
    <w:rsid w:val="005801FC"/>
    <w:rsid w:val="0058049E"/>
    <w:rsid w:val="00580708"/>
    <w:rsid w:val="00580C66"/>
    <w:rsid w:val="00580D64"/>
    <w:rsid w:val="00580E3E"/>
    <w:rsid w:val="005812BC"/>
    <w:rsid w:val="00581705"/>
    <w:rsid w:val="00581767"/>
    <w:rsid w:val="00581DFF"/>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902"/>
    <w:rsid w:val="005C7DB4"/>
    <w:rsid w:val="005D0241"/>
    <w:rsid w:val="005D0485"/>
    <w:rsid w:val="005D08FB"/>
    <w:rsid w:val="005D0D0B"/>
    <w:rsid w:val="005D2264"/>
    <w:rsid w:val="005D304E"/>
    <w:rsid w:val="005D3698"/>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16D"/>
    <w:rsid w:val="005E3253"/>
    <w:rsid w:val="005E37C8"/>
    <w:rsid w:val="005E3E82"/>
    <w:rsid w:val="005E3F28"/>
    <w:rsid w:val="005E4044"/>
    <w:rsid w:val="005E459F"/>
    <w:rsid w:val="005E60C8"/>
    <w:rsid w:val="005E6128"/>
    <w:rsid w:val="005E6206"/>
    <w:rsid w:val="005E6352"/>
    <w:rsid w:val="005E64DA"/>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CCB"/>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3215"/>
    <w:rsid w:val="0060339B"/>
    <w:rsid w:val="00603D58"/>
    <w:rsid w:val="006043BC"/>
    <w:rsid w:val="00604601"/>
    <w:rsid w:val="0060478B"/>
    <w:rsid w:val="00604819"/>
    <w:rsid w:val="00604D17"/>
    <w:rsid w:val="00605336"/>
    <w:rsid w:val="00606C15"/>
    <w:rsid w:val="00607CE5"/>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20304"/>
    <w:rsid w:val="00620A08"/>
    <w:rsid w:val="00621BD3"/>
    <w:rsid w:val="00622254"/>
    <w:rsid w:val="0062237D"/>
    <w:rsid w:val="00623CD4"/>
    <w:rsid w:val="0062472B"/>
    <w:rsid w:val="00624808"/>
    <w:rsid w:val="00624DB4"/>
    <w:rsid w:val="0062611B"/>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5C8"/>
    <w:rsid w:val="006369B1"/>
    <w:rsid w:val="00636D80"/>
    <w:rsid w:val="006373E0"/>
    <w:rsid w:val="0063745B"/>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BD5"/>
    <w:rsid w:val="00653DE3"/>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304D"/>
    <w:rsid w:val="00663200"/>
    <w:rsid w:val="006633F9"/>
    <w:rsid w:val="0066357A"/>
    <w:rsid w:val="00663D7D"/>
    <w:rsid w:val="00663F04"/>
    <w:rsid w:val="0066419C"/>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66E"/>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27E0"/>
    <w:rsid w:val="006B2B46"/>
    <w:rsid w:val="006B2E02"/>
    <w:rsid w:val="006B4743"/>
    <w:rsid w:val="006B5DF8"/>
    <w:rsid w:val="006B5F04"/>
    <w:rsid w:val="006B652A"/>
    <w:rsid w:val="006C03A8"/>
    <w:rsid w:val="006C09A4"/>
    <w:rsid w:val="006C0DCA"/>
    <w:rsid w:val="006C13D5"/>
    <w:rsid w:val="006C1747"/>
    <w:rsid w:val="006C1A58"/>
    <w:rsid w:val="006C2A51"/>
    <w:rsid w:val="006C47F7"/>
    <w:rsid w:val="006C486E"/>
    <w:rsid w:val="006C5A7D"/>
    <w:rsid w:val="006C5F1B"/>
    <w:rsid w:val="006C6CE3"/>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70B1"/>
    <w:rsid w:val="006E0577"/>
    <w:rsid w:val="006E1B3B"/>
    <w:rsid w:val="006E2174"/>
    <w:rsid w:val="006E2264"/>
    <w:rsid w:val="006E2343"/>
    <w:rsid w:val="006E295D"/>
    <w:rsid w:val="006E2B42"/>
    <w:rsid w:val="006E302D"/>
    <w:rsid w:val="006E31B9"/>
    <w:rsid w:val="006E3679"/>
    <w:rsid w:val="006E37AD"/>
    <w:rsid w:val="006E3DBB"/>
    <w:rsid w:val="006E468F"/>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1C3"/>
    <w:rsid w:val="00714878"/>
    <w:rsid w:val="00714916"/>
    <w:rsid w:val="0071500B"/>
    <w:rsid w:val="007157D4"/>
    <w:rsid w:val="00715C8A"/>
    <w:rsid w:val="0071635C"/>
    <w:rsid w:val="00716995"/>
    <w:rsid w:val="0071750E"/>
    <w:rsid w:val="00717C7A"/>
    <w:rsid w:val="00717CD7"/>
    <w:rsid w:val="00717D36"/>
    <w:rsid w:val="00717D5B"/>
    <w:rsid w:val="00717F64"/>
    <w:rsid w:val="00720F31"/>
    <w:rsid w:val="007215FB"/>
    <w:rsid w:val="00721E50"/>
    <w:rsid w:val="007220D0"/>
    <w:rsid w:val="007224C1"/>
    <w:rsid w:val="00722A2A"/>
    <w:rsid w:val="00722E0A"/>
    <w:rsid w:val="0072318D"/>
    <w:rsid w:val="0072353C"/>
    <w:rsid w:val="00723827"/>
    <w:rsid w:val="00723BB2"/>
    <w:rsid w:val="00724248"/>
    <w:rsid w:val="00724BC1"/>
    <w:rsid w:val="007256BB"/>
    <w:rsid w:val="0072611A"/>
    <w:rsid w:val="007265CC"/>
    <w:rsid w:val="00727245"/>
    <w:rsid w:val="00727596"/>
    <w:rsid w:val="00727786"/>
    <w:rsid w:val="007279A8"/>
    <w:rsid w:val="00730005"/>
    <w:rsid w:val="007300A2"/>
    <w:rsid w:val="007302A6"/>
    <w:rsid w:val="00730B04"/>
    <w:rsid w:val="00730B56"/>
    <w:rsid w:val="00730CCC"/>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399"/>
    <w:rsid w:val="00742439"/>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64E3"/>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266A"/>
    <w:rsid w:val="007B3DB8"/>
    <w:rsid w:val="007B3DC8"/>
    <w:rsid w:val="007B3E3C"/>
    <w:rsid w:val="007B4239"/>
    <w:rsid w:val="007B46AA"/>
    <w:rsid w:val="007B48F8"/>
    <w:rsid w:val="007B51D1"/>
    <w:rsid w:val="007B54C9"/>
    <w:rsid w:val="007B5B02"/>
    <w:rsid w:val="007B5BB0"/>
    <w:rsid w:val="007B6472"/>
    <w:rsid w:val="007B6748"/>
    <w:rsid w:val="007B6986"/>
    <w:rsid w:val="007B6CC3"/>
    <w:rsid w:val="007B6D12"/>
    <w:rsid w:val="007B7174"/>
    <w:rsid w:val="007B75AD"/>
    <w:rsid w:val="007B75B2"/>
    <w:rsid w:val="007C0083"/>
    <w:rsid w:val="007C0139"/>
    <w:rsid w:val="007C0529"/>
    <w:rsid w:val="007C081D"/>
    <w:rsid w:val="007C0C4A"/>
    <w:rsid w:val="007C0DFF"/>
    <w:rsid w:val="007C103B"/>
    <w:rsid w:val="007C1269"/>
    <w:rsid w:val="007C1400"/>
    <w:rsid w:val="007C1A95"/>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10D"/>
    <w:rsid w:val="007E569D"/>
    <w:rsid w:val="007E5A35"/>
    <w:rsid w:val="007E65E3"/>
    <w:rsid w:val="007E70BB"/>
    <w:rsid w:val="007E70D7"/>
    <w:rsid w:val="007E76ED"/>
    <w:rsid w:val="007F01D8"/>
    <w:rsid w:val="007F0407"/>
    <w:rsid w:val="007F099D"/>
    <w:rsid w:val="007F0E57"/>
    <w:rsid w:val="007F16D4"/>
    <w:rsid w:val="007F173B"/>
    <w:rsid w:val="007F274C"/>
    <w:rsid w:val="007F278E"/>
    <w:rsid w:val="007F2DD8"/>
    <w:rsid w:val="007F32D1"/>
    <w:rsid w:val="007F3AA2"/>
    <w:rsid w:val="007F3E27"/>
    <w:rsid w:val="007F40D2"/>
    <w:rsid w:val="007F4345"/>
    <w:rsid w:val="007F4A03"/>
    <w:rsid w:val="007F5525"/>
    <w:rsid w:val="007F569E"/>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570D"/>
    <w:rsid w:val="00805AB1"/>
    <w:rsid w:val="0080616A"/>
    <w:rsid w:val="008066B8"/>
    <w:rsid w:val="00806A1A"/>
    <w:rsid w:val="008073F4"/>
    <w:rsid w:val="00810331"/>
    <w:rsid w:val="0081038C"/>
    <w:rsid w:val="0081064C"/>
    <w:rsid w:val="00810F26"/>
    <w:rsid w:val="00811141"/>
    <w:rsid w:val="008112A4"/>
    <w:rsid w:val="0081208C"/>
    <w:rsid w:val="008123C7"/>
    <w:rsid w:val="00812690"/>
    <w:rsid w:val="00812C2A"/>
    <w:rsid w:val="00812F1E"/>
    <w:rsid w:val="00813480"/>
    <w:rsid w:val="008135D3"/>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4B94"/>
    <w:rsid w:val="00845253"/>
    <w:rsid w:val="008458C7"/>
    <w:rsid w:val="0084684D"/>
    <w:rsid w:val="008469A3"/>
    <w:rsid w:val="0084748D"/>
    <w:rsid w:val="00847742"/>
    <w:rsid w:val="00847FD9"/>
    <w:rsid w:val="008500EA"/>
    <w:rsid w:val="0085020D"/>
    <w:rsid w:val="00850438"/>
    <w:rsid w:val="00851425"/>
    <w:rsid w:val="0085190E"/>
    <w:rsid w:val="0085251F"/>
    <w:rsid w:val="0085297A"/>
    <w:rsid w:val="00852EEC"/>
    <w:rsid w:val="00853630"/>
    <w:rsid w:val="00853633"/>
    <w:rsid w:val="0085371A"/>
    <w:rsid w:val="00853758"/>
    <w:rsid w:val="008539F5"/>
    <w:rsid w:val="00853AC3"/>
    <w:rsid w:val="008540FC"/>
    <w:rsid w:val="00854A23"/>
    <w:rsid w:val="00854A5E"/>
    <w:rsid w:val="00854BB3"/>
    <w:rsid w:val="00854E3D"/>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14BE"/>
    <w:rsid w:val="008616F4"/>
    <w:rsid w:val="00861B4B"/>
    <w:rsid w:val="00861EF7"/>
    <w:rsid w:val="00862837"/>
    <w:rsid w:val="008628EE"/>
    <w:rsid w:val="008637FB"/>
    <w:rsid w:val="0086418E"/>
    <w:rsid w:val="00864247"/>
    <w:rsid w:val="008645AE"/>
    <w:rsid w:val="0086467A"/>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805"/>
    <w:rsid w:val="0087221F"/>
    <w:rsid w:val="008722FD"/>
    <w:rsid w:val="00872321"/>
    <w:rsid w:val="00872D64"/>
    <w:rsid w:val="00872F86"/>
    <w:rsid w:val="0087496F"/>
    <w:rsid w:val="00874994"/>
    <w:rsid w:val="00875843"/>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7DE"/>
    <w:rsid w:val="00895963"/>
    <w:rsid w:val="00895D07"/>
    <w:rsid w:val="00895F00"/>
    <w:rsid w:val="0089605F"/>
    <w:rsid w:val="00896537"/>
    <w:rsid w:val="00896787"/>
    <w:rsid w:val="0089686F"/>
    <w:rsid w:val="00896A75"/>
    <w:rsid w:val="00896C6A"/>
    <w:rsid w:val="00897303"/>
    <w:rsid w:val="00897A3B"/>
    <w:rsid w:val="00897D01"/>
    <w:rsid w:val="008A004E"/>
    <w:rsid w:val="008A00A5"/>
    <w:rsid w:val="008A0CC2"/>
    <w:rsid w:val="008A184B"/>
    <w:rsid w:val="008A1DE4"/>
    <w:rsid w:val="008A26A6"/>
    <w:rsid w:val="008A27B1"/>
    <w:rsid w:val="008A2BC7"/>
    <w:rsid w:val="008A2EEC"/>
    <w:rsid w:val="008A3368"/>
    <w:rsid w:val="008A3C47"/>
    <w:rsid w:val="008A3E47"/>
    <w:rsid w:val="008A3E82"/>
    <w:rsid w:val="008A40C1"/>
    <w:rsid w:val="008A41B7"/>
    <w:rsid w:val="008A4FB3"/>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16C"/>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02"/>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62C"/>
    <w:rsid w:val="00905683"/>
    <w:rsid w:val="009058DA"/>
    <w:rsid w:val="00906418"/>
    <w:rsid w:val="009067B2"/>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3EC"/>
    <w:rsid w:val="00920A40"/>
    <w:rsid w:val="00921633"/>
    <w:rsid w:val="009219F4"/>
    <w:rsid w:val="00921BA1"/>
    <w:rsid w:val="0092228D"/>
    <w:rsid w:val="009227A0"/>
    <w:rsid w:val="009229C1"/>
    <w:rsid w:val="00922AC4"/>
    <w:rsid w:val="00922B48"/>
    <w:rsid w:val="00922C29"/>
    <w:rsid w:val="00922F93"/>
    <w:rsid w:val="0092404B"/>
    <w:rsid w:val="0092494F"/>
    <w:rsid w:val="009249B4"/>
    <w:rsid w:val="00924D6C"/>
    <w:rsid w:val="00924F28"/>
    <w:rsid w:val="0092645A"/>
    <w:rsid w:val="009275C2"/>
    <w:rsid w:val="00927955"/>
    <w:rsid w:val="009305D7"/>
    <w:rsid w:val="00930936"/>
    <w:rsid w:val="00930AE2"/>
    <w:rsid w:val="0093192B"/>
    <w:rsid w:val="00931C4F"/>
    <w:rsid w:val="00931C60"/>
    <w:rsid w:val="00932672"/>
    <w:rsid w:val="00932B7F"/>
    <w:rsid w:val="00932F49"/>
    <w:rsid w:val="0093364E"/>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85D"/>
    <w:rsid w:val="00964C5A"/>
    <w:rsid w:val="00964E19"/>
    <w:rsid w:val="00965A64"/>
    <w:rsid w:val="00965AE7"/>
    <w:rsid w:val="0096608F"/>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37A3"/>
    <w:rsid w:val="00983877"/>
    <w:rsid w:val="00983937"/>
    <w:rsid w:val="00983E85"/>
    <w:rsid w:val="009840D5"/>
    <w:rsid w:val="00984198"/>
    <w:rsid w:val="009841A3"/>
    <w:rsid w:val="009844A6"/>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1108"/>
    <w:rsid w:val="009C119F"/>
    <w:rsid w:val="009C12AE"/>
    <w:rsid w:val="009C1F55"/>
    <w:rsid w:val="009C20A6"/>
    <w:rsid w:val="009C2477"/>
    <w:rsid w:val="009C25FF"/>
    <w:rsid w:val="009C2C1C"/>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9EC"/>
    <w:rsid w:val="009D2B12"/>
    <w:rsid w:val="009D2B97"/>
    <w:rsid w:val="009D2F32"/>
    <w:rsid w:val="009D3C9B"/>
    <w:rsid w:val="009D3D8D"/>
    <w:rsid w:val="009D404B"/>
    <w:rsid w:val="009D4182"/>
    <w:rsid w:val="009D4AC0"/>
    <w:rsid w:val="009D5B50"/>
    <w:rsid w:val="009D66F4"/>
    <w:rsid w:val="009D6862"/>
    <w:rsid w:val="009D6B07"/>
    <w:rsid w:val="009D6BA5"/>
    <w:rsid w:val="009D7097"/>
    <w:rsid w:val="009D735E"/>
    <w:rsid w:val="009D788A"/>
    <w:rsid w:val="009E0311"/>
    <w:rsid w:val="009E0AEA"/>
    <w:rsid w:val="009E0B26"/>
    <w:rsid w:val="009E0ED9"/>
    <w:rsid w:val="009E0FBA"/>
    <w:rsid w:val="009E15B9"/>
    <w:rsid w:val="009E18A3"/>
    <w:rsid w:val="009E19FC"/>
    <w:rsid w:val="009E3C5F"/>
    <w:rsid w:val="009E4129"/>
    <w:rsid w:val="009E467B"/>
    <w:rsid w:val="009E4785"/>
    <w:rsid w:val="009E5AE5"/>
    <w:rsid w:val="009E6A82"/>
    <w:rsid w:val="009E6AF8"/>
    <w:rsid w:val="009E79EB"/>
    <w:rsid w:val="009F0068"/>
    <w:rsid w:val="009F097D"/>
    <w:rsid w:val="009F0F3E"/>
    <w:rsid w:val="009F16A2"/>
    <w:rsid w:val="009F19C3"/>
    <w:rsid w:val="009F19FA"/>
    <w:rsid w:val="009F1BBD"/>
    <w:rsid w:val="009F24C0"/>
    <w:rsid w:val="009F35D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422B"/>
    <w:rsid w:val="00A04574"/>
    <w:rsid w:val="00A04B79"/>
    <w:rsid w:val="00A05098"/>
    <w:rsid w:val="00A05193"/>
    <w:rsid w:val="00A058B0"/>
    <w:rsid w:val="00A0594A"/>
    <w:rsid w:val="00A05B39"/>
    <w:rsid w:val="00A066FC"/>
    <w:rsid w:val="00A06BB6"/>
    <w:rsid w:val="00A06C5E"/>
    <w:rsid w:val="00A0750C"/>
    <w:rsid w:val="00A07551"/>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412"/>
    <w:rsid w:val="00A21711"/>
    <w:rsid w:val="00A21B63"/>
    <w:rsid w:val="00A21BFC"/>
    <w:rsid w:val="00A21DCD"/>
    <w:rsid w:val="00A22093"/>
    <w:rsid w:val="00A2274A"/>
    <w:rsid w:val="00A22D5B"/>
    <w:rsid w:val="00A23C24"/>
    <w:rsid w:val="00A24964"/>
    <w:rsid w:val="00A249E0"/>
    <w:rsid w:val="00A24DC8"/>
    <w:rsid w:val="00A256E6"/>
    <w:rsid w:val="00A25A00"/>
    <w:rsid w:val="00A25A8A"/>
    <w:rsid w:val="00A25B26"/>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553"/>
    <w:rsid w:val="00A44852"/>
    <w:rsid w:val="00A44ABB"/>
    <w:rsid w:val="00A44C7A"/>
    <w:rsid w:val="00A44D77"/>
    <w:rsid w:val="00A44F12"/>
    <w:rsid w:val="00A4547E"/>
    <w:rsid w:val="00A45BA7"/>
    <w:rsid w:val="00A45C76"/>
    <w:rsid w:val="00A46541"/>
    <w:rsid w:val="00A46FCA"/>
    <w:rsid w:val="00A5026F"/>
    <w:rsid w:val="00A506A9"/>
    <w:rsid w:val="00A50AD2"/>
    <w:rsid w:val="00A51727"/>
    <w:rsid w:val="00A518AD"/>
    <w:rsid w:val="00A5289A"/>
    <w:rsid w:val="00A52EA7"/>
    <w:rsid w:val="00A53E41"/>
    <w:rsid w:val="00A540AF"/>
    <w:rsid w:val="00A540D4"/>
    <w:rsid w:val="00A54EDB"/>
    <w:rsid w:val="00A54F90"/>
    <w:rsid w:val="00A55453"/>
    <w:rsid w:val="00A56B6A"/>
    <w:rsid w:val="00A56B8C"/>
    <w:rsid w:val="00A57320"/>
    <w:rsid w:val="00A60380"/>
    <w:rsid w:val="00A60B50"/>
    <w:rsid w:val="00A60B89"/>
    <w:rsid w:val="00A6134B"/>
    <w:rsid w:val="00A6152C"/>
    <w:rsid w:val="00A61C6B"/>
    <w:rsid w:val="00A61D77"/>
    <w:rsid w:val="00A62646"/>
    <w:rsid w:val="00A62852"/>
    <w:rsid w:val="00A62C18"/>
    <w:rsid w:val="00A63179"/>
    <w:rsid w:val="00A63CB8"/>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D35"/>
    <w:rsid w:val="00A85E83"/>
    <w:rsid w:val="00A86716"/>
    <w:rsid w:val="00A873BC"/>
    <w:rsid w:val="00A878B4"/>
    <w:rsid w:val="00A879E1"/>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FC1"/>
    <w:rsid w:val="00AA502D"/>
    <w:rsid w:val="00AA550C"/>
    <w:rsid w:val="00AA5728"/>
    <w:rsid w:val="00AA5C82"/>
    <w:rsid w:val="00AA5E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4AF"/>
    <w:rsid w:val="00AD480B"/>
    <w:rsid w:val="00AD5994"/>
    <w:rsid w:val="00AD637F"/>
    <w:rsid w:val="00AE01D1"/>
    <w:rsid w:val="00AE112D"/>
    <w:rsid w:val="00AE168D"/>
    <w:rsid w:val="00AE1C68"/>
    <w:rsid w:val="00AE20D2"/>
    <w:rsid w:val="00AE22DC"/>
    <w:rsid w:val="00AE269B"/>
    <w:rsid w:val="00AE27AC"/>
    <w:rsid w:val="00AE2EBC"/>
    <w:rsid w:val="00AE2F4F"/>
    <w:rsid w:val="00AE3008"/>
    <w:rsid w:val="00AE3430"/>
    <w:rsid w:val="00AE3628"/>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6D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767"/>
    <w:rsid w:val="00B028BD"/>
    <w:rsid w:val="00B035C3"/>
    <w:rsid w:val="00B03775"/>
    <w:rsid w:val="00B03A69"/>
    <w:rsid w:val="00B04FFF"/>
    <w:rsid w:val="00B058D7"/>
    <w:rsid w:val="00B06264"/>
    <w:rsid w:val="00B063D8"/>
    <w:rsid w:val="00B06608"/>
    <w:rsid w:val="00B067ED"/>
    <w:rsid w:val="00B06DEE"/>
    <w:rsid w:val="00B07AB3"/>
    <w:rsid w:val="00B103D0"/>
    <w:rsid w:val="00B10978"/>
    <w:rsid w:val="00B10998"/>
    <w:rsid w:val="00B110D2"/>
    <w:rsid w:val="00B11881"/>
    <w:rsid w:val="00B11AC6"/>
    <w:rsid w:val="00B11AE5"/>
    <w:rsid w:val="00B11C21"/>
    <w:rsid w:val="00B11F6C"/>
    <w:rsid w:val="00B12A20"/>
    <w:rsid w:val="00B13436"/>
    <w:rsid w:val="00B13942"/>
    <w:rsid w:val="00B141FC"/>
    <w:rsid w:val="00B14249"/>
    <w:rsid w:val="00B148F0"/>
    <w:rsid w:val="00B14E65"/>
    <w:rsid w:val="00B14FA6"/>
    <w:rsid w:val="00B15BF2"/>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46F"/>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BEF"/>
    <w:rsid w:val="00B75CC4"/>
    <w:rsid w:val="00B761DA"/>
    <w:rsid w:val="00B7681C"/>
    <w:rsid w:val="00B76BCB"/>
    <w:rsid w:val="00B772AB"/>
    <w:rsid w:val="00B772BF"/>
    <w:rsid w:val="00B77FB3"/>
    <w:rsid w:val="00B80E75"/>
    <w:rsid w:val="00B815C7"/>
    <w:rsid w:val="00B81744"/>
    <w:rsid w:val="00B818CB"/>
    <w:rsid w:val="00B81CAC"/>
    <w:rsid w:val="00B81FC7"/>
    <w:rsid w:val="00B81FF5"/>
    <w:rsid w:val="00B82048"/>
    <w:rsid w:val="00B8261B"/>
    <w:rsid w:val="00B834DE"/>
    <w:rsid w:val="00B8350F"/>
    <w:rsid w:val="00B83798"/>
    <w:rsid w:val="00B837B1"/>
    <w:rsid w:val="00B83AC5"/>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BA0"/>
    <w:rsid w:val="00B9702E"/>
    <w:rsid w:val="00B97742"/>
    <w:rsid w:val="00BA12A5"/>
    <w:rsid w:val="00BA1612"/>
    <w:rsid w:val="00BA1983"/>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4134"/>
    <w:rsid w:val="00BB4A19"/>
    <w:rsid w:val="00BB4B2F"/>
    <w:rsid w:val="00BB4C44"/>
    <w:rsid w:val="00BB5593"/>
    <w:rsid w:val="00BB5DC3"/>
    <w:rsid w:val="00BB6D33"/>
    <w:rsid w:val="00BB6DA8"/>
    <w:rsid w:val="00BB7345"/>
    <w:rsid w:val="00BB7E05"/>
    <w:rsid w:val="00BC1090"/>
    <w:rsid w:val="00BC1C30"/>
    <w:rsid w:val="00BC1C8A"/>
    <w:rsid w:val="00BC2F3E"/>
    <w:rsid w:val="00BC3345"/>
    <w:rsid w:val="00BC3A2D"/>
    <w:rsid w:val="00BC3C69"/>
    <w:rsid w:val="00BC55C7"/>
    <w:rsid w:val="00BC5BD2"/>
    <w:rsid w:val="00BC5C5C"/>
    <w:rsid w:val="00BC6048"/>
    <w:rsid w:val="00BC610D"/>
    <w:rsid w:val="00BC610F"/>
    <w:rsid w:val="00BC6E7A"/>
    <w:rsid w:val="00BC7009"/>
    <w:rsid w:val="00BC7111"/>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B8C"/>
    <w:rsid w:val="00BE4433"/>
    <w:rsid w:val="00BE4C9B"/>
    <w:rsid w:val="00BE52D8"/>
    <w:rsid w:val="00BE5527"/>
    <w:rsid w:val="00BE6470"/>
    <w:rsid w:val="00BE6EEF"/>
    <w:rsid w:val="00BE7921"/>
    <w:rsid w:val="00BF0A2D"/>
    <w:rsid w:val="00BF0E9E"/>
    <w:rsid w:val="00BF1A6C"/>
    <w:rsid w:val="00BF1B98"/>
    <w:rsid w:val="00BF1BA4"/>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C00031"/>
    <w:rsid w:val="00C000EF"/>
    <w:rsid w:val="00C00129"/>
    <w:rsid w:val="00C00825"/>
    <w:rsid w:val="00C01300"/>
    <w:rsid w:val="00C01642"/>
    <w:rsid w:val="00C016CB"/>
    <w:rsid w:val="00C02503"/>
    <w:rsid w:val="00C02A4D"/>
    <w:rsid w:val="00C02CAA"/>
    <w:rsid w:val="00C0362D"/>
    <w:rsid w:val="00C0376B"/>
    <w:rsid w:val="00C03BE8"/>
    <w:rsid w:val="00C03E08"/>
    <w:rsid w:val="00C049E0"/>
    <w:rsid w:val="00C050BC"/>
    <w:rsid w:val="00C05AD4"/>
    <w:rsid w:val="00C05D5C"/>
    <w:rsid w:val="00C0646E"/>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754"/>
    <w:rsid w:val="00C139AE"/>
    <w:rsid w:val="00C13BBE"/>
    <w:rsid w:val="00C13BCC"/>
    <w:rsid w:val="00C13F80"/>
    <w:rsid w:val="00C13F8C"/>
    <w:rsid w:val="00C1453E"/>
    <w:rsid w:val="00C145A0"/>
    <w:rsid w:val="00C14AC7"/>
    <w:rsid w:val="00C15379"/>
    <w:rsid w:val="00C15403"/>
    <w:rsid w:val="00C157CB"/>
    <w:rsid w:val="00C163D3"/>
    <w:rsid w:val="00C168A4"/>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5895"/>
    <w:rsid w:val="00C25FC7"/>
    <w:rsid w:val="00C26284"/>
    <w:rsid w:val="00C26C4A"/>
    <w:rsid w:val="00C279FF"/>
    <w:rsid w:val="00C27D13"/>
    <w:rsid w:val="00C30196"/>
    <w:rsid w:val="00C30665"/>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27BA"/>
    <w:rsid w:val="00C428D2"/>
    <w:rsid w:val="00C4361D"/>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64A"/>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642"/>
    <w:rsid w:val="00C66CB5"/>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4B1"/>
    <w:rsid w:val="00C8015D"/>
    <w:rsid w:val="00C80494"/>
    <w:rsid w:val="00C808F4"/>
    <w:rsid w:val="00C8109D"/>
    <w:rsid w:val="00C81353"/>
    <w:rsid w:val="00C81562"/>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FDA"/>
    <w:rsid w:val="00CA51E5"/>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5C3"/>
    <w:rsid w:val="00CC0C8F"/>
    <w:rsid w:val="00CC179B"/>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69E"/>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B0F"/>
    <w:rsid w:val="00CE5DEE"/>
    <w:rsid w:val="00CE6B50"/>
    <w:rsid w:val="00CE79C7"/>
    <w:rsid w:val="00CE7CAD"/>
    <w:rsid w:val="00CF02C2"/>
    <w:rsid w:val="00CF032E"/>
    <w:rsid w:val="00CF03B6"/>
    <w:rsid w:val="00CF165A"/>
    <w:rsid w:val="00CF27B7"/>
    <w:rsid w:val="00CF290D"/>
    <w:rsid w:val="00CF2DA0"/>
    <w:rsid w:val="00CF358A"/>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8A5"/>
    <w:rsid w:val="00D036EA"/>
    <w:rsid w:val="00D03721"/>
    <w:rsid w:val="00D0390D"/>
    <w:rsid w:val="00D03912"/>
    <w:rsid w:val="00D03E76"/>
    <w:rsid w:val="00D043AD"/>
    <w:rsid w:val="00D04688"/>
    <w:rsid w:val="00D04AD9"/>
    <w:rsid w:val="00D04D9F"/>
    <w:rsid w:val="00D05592"/>
    <w:rsid w:val="00D059A4"/>
    <w:rsid w:val="00D06029"/>
    <w:rsid w:val="00D06210"/>
    <w:rsid w:val="00D0685E"/>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7484"/>
    <w:rsid w:val="00D17CD9"/>
    <w:rsid w:val="00D20765"/>
    <w:rsid w:val="00D208E3"/>
    <w:rsid w:val="00D20BCA"/>
    <w:rsid w:val="00D20C5E"/>
    <w:rsid w:val="00D20D9F"/>
    <w:rsid w:val="00D20F0E"/>
    <w:rsid w:val="00D2126F"/>
    <w:rsid w:val="00D213E7"/>
    <w:rsid w:val="00D218C7"/>
    <w:rsid w:val="00D223C0"/>
    <w:rsid w:val="00D22444"/>
    <w:rsid w:val="00D2255D"/>
    <w:rsid w:val="00D231E5"/>
    <w:rsid w:val="00D2356E"/>
    <w:rsid w:val="00D23723"/>
    <w:rsid w:val="00D2376E"/>
    <w:rsid w:val="00D23B88"/>
    <w:rsid w:val="00D248E6"/>
    <w:rsid w:val="00D24AED"/>
    <w:rsid w:val="00D24B4F"/>
    <w:rsid w:val="00D24E89"/>
    <w:rsid w:val="00D254BD"/>
    <w:rsid w:val="00D25563"/>
    <w:rsid w:val="00D262A0"/>
    <w:rsid w:val="00D269A9"/>
    <w:rsid w:val="00D26EE8"/>
    <w:rsid w:val="00D27762"/>
    <w:rsid w:val="00D27A5C"/>
    <w:rsid w:val="00D30947"/>
    <w:rsid w:val="00D30F45"/>
    <w:rsid w:val="00D31073"/>
    <w:rsid w:val="00D3164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3E7"/>
    <w:rsid w:val="00D447D1"/>
    <w:rsid w:val="00D44B97"/>
    <w:rsid w:val="00D44EDC"/>
    <w:rsid w:val="00D44F40"/>
    <w:rsid w:val="00D45218"/>
    <w:rsid w:val="00D46F05"/>
    <w:rsid w:val="00D501FC"/>
    <w:rsid w:val="00D50467"/>
    <w:rsid w:val="00D50AD8"/>
    <w:rsid w:val="00D51130"/>
    <w:rsid w:val="00D51C9F"/>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662"/>
    <w:rsid w:val="00D56C0A"/>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427F"/>
    <w:rsid w:val="00D64A01"/>
    <w:rsid w:val="00D651C9"/>
    <w:rsid w:val="00D65A81"/>
    <w:rsid w:val="00D65E95"/>
    <w:rsid w:val="00D668CD"/>
    <w:rsid w:val="00D66D23"/>
    <w:rsid w:val="00D67ADD"/>
    <w:rsid w:val="00D70526"/>
    <w:rsid w:val="00D70C44"/>
    <w:rsid w:val="00D714BF"/>
    <w:rsid w:val="00D716A1"/>
    <w:rsid w:val="00D71EF5"/>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AA1"/>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0F43"/>
    <w:rsid w:val="00DC15C1"/>
    <w:rsid w:val="00DC2405"/>
    <w:rsid w:val="00DC3122"/>
    <w:rsid w:val="00DC3B2D"/>
    <w:rsid w:val="00DC41E2"/>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D82"/>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37C"/>
    <w:rsid w:val="00E01EBC"/>
    <w:rsid w:val="00E028CE"/>
    <w:rsid w:val="00E02F4D"/>
    <w:rsid w:val="00E03736"/>
    <w:rsid w:val="00E03BF0"/>
    <w:rsid w:val="00E046D0"/>
    <w:rsid w:val="00E04F21"/>
    <w:rsid w:val="00E05309"/>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2FEF"/>
    <w:rsid w:val="00E235D0"/>
    <w:rsid w:val="00E23A21"/>
    <w:rsid w:val="00E247A6"/>
    <w:rsid w:val="00E24972"/>
    <w:rsid w:val="00E24D9D"/>
    <w:rsid w:val="00E25590"/>
    <w:rsid w:val="00E25781"/>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0D32"/>
    <w:rsid w:val="00E71685"/>
    <w:rsid w:val="00E71F36"/>
    <w:rsid w:val="00E7264B"/>
    <w:rsid w:val="00E726D1"/>
    <w:rsid w:val="00E736A7"/>
    <w:rsid w:val="00E74684"/>
    <w:rsid w:val="00E74A80"/>
    <w:rsid w:val="00E74AAE"/>
    <w:rsid w:val="00E75106"/>
    <w:rsid w:val="00E75512"/>
    <w:rsid w:val="00E7552F"/>
    <w:rsid w:val="00E75ABB"/>
    <w:rsid w:val="00E75E3A"/>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B74"/>
    <w:rsid w:val="00E92D32"/>
    <w:rsid w:val="00E93198"/>
    <w:rsid w:val="00E935BA"/>
    <w:rsid w:val="00E93A08"/>
    <w:rsid w:val="00E93D78"/>
    <w:rsid w:val="00E940CA"/>
    <w:rsid w:val="00E94657"/>
    <w:rsid w:val="00E947C1"/>
    <w:rsid w:val="00E94AFD"/>
    <w:rsid w:val="00E95084"/>
    <w:rsid w:val="00E95808"/>
    <w:rsid w:val="00E95CA7"/>
    <w:rsid w:val="00E96463"/>
    <w:rsid w:val="00E966A0"/>
    <w:rsid w:val="00E9671B"/>
    <w:rsid w:val="00E97501"/>
    <w:rsid w:val="00E9763C"/>
    <w:rsid w:val="00E976AB"/>
    <w:rsid w:val="00E97A7B"/>
    <w:rsid w:val="00EA0044"/>
    <w:rsid w:val="00EA0134"/>
    <w:rsid w:val="00EA0696"/>
    <w:rsid w:val="00EA0989"/>
    <w:rsid w:val="00EA0C80"/>
    <w:rsid w:val="00EA1871"/>
    <w:rsid w:val="00EA1F98"/>
    <w:rsid w:val="00EA2B30"/>
    <w:rsid w:val="00EA2DAA"/>
    <w:rsid w:val="00EA316E"/>
    <w:rsid w:val="00EA330C"/>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708"/>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496"/>
    <w:rsid w:val="00F03ECC"/>
    <w:rsid w:val="00F04065"/>
    <w:rsid w:val="00F0493D"/>
    <w:rsid w:val="00F0585D"/>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020"/>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1074"/>
    <w:rsid w:val="00F21736"/>
    <w:rsid w:val="00F220ED"/>
    <w:rsid w:val="00F22307"/>
    <w:rsid w:val="00F2280E"/>
    <w:rsid w:val="00F22AFD"/>
    <w:rsid w:val="00F23B11"/>
    <w:rsid w:val="00F23C07"/>
    <w:rsid w:val="00F23E18"/>
    <w:rsid w:val="00F23ED8"/>
    <w:rsid w:val="00F243B4"/>
    <w:rsid w:val="00F24483"/>
    <w:rsid w:val="00F247D7"/>
    <w:rsid w:val="00F2496B"/>
    <w:rsid w:val="00F24B0B"/>
    <w:rsid w:val="00F25244"/>
    <w:rsid w:val="00F267D2"/>
    <w:rsid w:val="00F26E65"/>
    <w:rsid w:val="00F2721E"/>
    <w:rsid w:val="00F27AA0"/>
    <w:rsid w:val="00F300C2"/>
    <w:rsid w:val="00F303F1"/>
    <w:rsid w:val="00F30AD9"/>
    <w:rsid w:val="00F310CB"/>
    <w:rsid w:val="00F3120D"/>
    <w:rsid w:val="00F315D1"/>
    <w:rsid w:val="00F31876"/>
    <w:rsid w:val="00F31ACF"/>
    <w:rsid w:val="00F31ED3"/>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5DD"/>
    <w:rsid w:val="00F456B3"/>
    <w:rsid w:val="00F45EC5"/>
    <w:rsid w:val="00F46029"/>
    <w:rsid w:val="00F46ACF"/>
    <w:rsid w:val="00F46B43"/>
    <w:rsid w:val="00F46F94"/>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713"/>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974"/>
    <w:rsid w:val="00FB2AC9"/>
    <w:rsid w:val="00FB2EAA"/>
    <w:rsid w:val="00FB3514"/>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2063"/>
    <w:rsid w:val="00FC2470"/>
    <w:rsid w:val="00FC2883"/>
    <w:rsid w:val="00FC29C6"/>
    <w:rsid w:val="00FC2B21"/>
    <w:rsid w:val="00FC31B7"/>
    <w:rsid w:val="00FC3B60"/>
    <w:rsid w:val="00FC410A"/>
    <w:rsid w:val="00FC429E"/>
    <w:rsid w:val="00FC4893"/>
    <w:rsid w:val="00FC4F80"/>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D74AE"/>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B5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35"/>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35"/>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35"/>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35"/>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35"/>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35"/>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35"/>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35"/>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35"/>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2"/>
      </w:numPr>
      <w:spacing w:after="50" w:line="180" w:lineRule="exact"/>
      <w:jc w:val="both"/>
    </w:pPr>
    <w:rPr>
      <w:rFonts w:eastAsia="MS Mincho"/>
      <w:noProof/>
      <w:sz w:val="16"/>
      <w:szCs w:val="16"/>
      <w:lang w:val="en-US" w:eastAsia="en-US"/>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3"/>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4"/>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5"/>
      </w:numPr>
      <w:spacing w:before="220"/>
    </w:pPr>
    <w:rPr>
      <w:rFonts w:ascii="Arial" w:hAnsi="Arial"/>
      <w:sz w:val="22"/>
      <w:lang w:val="en-US" w:eastAsia="en-US"/>
    </w:rPr>
  </w:style>
  <w:style w:type="paragraph" w:styleId="Revision">
    <w:name w:val="Revision"/>
    <w:hidden/>
    <w:uiPriority w:val="99"/>
    <w:semiHidden/>
    <w:rsid w:val="00BC1090"/>
    <w:rPr>
      <w:szCs w:val="24"/>
      <w:lang w:val="en-US" w:eastAsia="en-US"/>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15"/>
      </w:numPr>
      <w:tabs>
        <w:tab w:val="left" w:pos="1673"/>
      </w:tabs>
      <w:spacing w:before="180"/>
    </w:pPr>
    <w:rPr>
      <w:rFonts w:ascii="Arial" w:hAnsi="Arial"/>
      <w:sz w:val="22"/>
      <w:lang w:val="en-US" w:eastAsia="en-US"/>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33"/>
      </w:numPr>
    </w:pPr>
    <w:rPr>
      <w:rFonts w:eastAsia="Times New Roman" w:cs="Times New Roman"/>
      <w:szCs w:val="20"/>
    </w:rPr>
  </w:style>
  <w:style w:type="character" w:styleId="FollowedHyperlink">
    <w:name w:val="FollowedHyperlink"/>
    <w:rsid w:val="002E5CCF"/>
    <w:rPr>
      <w:color w:val="800080"/>
      <w:u w:val="single"/>
    </w:rPr>
  </w:style>
  <w:style w:type="paragraph" w:customStyle="1" w:styleId="3GPPHeader">
    <w:name w:val="3GPP_Header"/>
    <w:basedOn w:val="Normal"/>
    <w:link w:val="3GPPHeaderChar"/>
    <w:rsid w:val="008E6902"/>
    <w:pPr>
      <w:tabs>
        <w:tab w:val="left" w:pos="1701"/>
        <w:tab w:val="right" w:pos="9639"/>
      </w:tabs>
      <w:overflowPunct w:val="0"/>
      <w:autoSpaceDE w:val="0"/>
      <w:autoSpaceDN w:val="0"/>
      <w:adjustRightInd w:val="0"/>
      <w:spacing w:after="240" w:line="288" w:lineRule="auto"/>
      <w:textAlignment w:val="baseline"/>
    </w:pPr>
    <w:rPr>
      <w:b/>
      <w:sz w:val="24"/>
      <w:szCs w:val="20"/>
      <w:lang w:val="en-GB" w:eastAsia="zh-CN"/>
    </w:rPr>
  </w:style>
  <w:style w:type="character" w:customStyle="1" w:styleId="3GPPHeaderChar">
    <w:name w:val="3GPP_Header Char"/>
    <w:link w:val="3GPPHeader"/>
    <w:rsid w:val="008E6902"/>
    <w:rPr>
      <w:b/>
      <w:sz w:val="24"/>
      <w:lang w:val="en-GB" w:eastAsia="zh-CN"/>
    </w:rPr>
  </w:style>
  <w:style w:type="paragraph" w:customStyle="1" w:styleId="EQ">
    <w:name w:val="EQ"/>
    <w:basedOn w:val="Normal"/>
    <w:next w:val="Normal"/>
    <w:rsid w:val="003C2DFF"/>
    <w:pPr>
      <w:keepLines/>
      <w:tabs>
        <w:tab w:val="center" w:pos="4536"/>
        <w:tab w:val="right" w:pos="9072"/>
      </w:tabs>
      <w:spacing w:after="180"/>
    </w:pPr>
    <w:rPr>
      <w:noProof/>
      <w:szCs w:val="20"/>
      <w:lang w:val="en-GB"/>
    </w:rPr>
  </w:style>
  <w:style w:type="paragraph" w:customStyle="1" w:styleId="TAC">
    <w:name w:val="TAC"/>
    <w:basedOn w:val="TAL"/>
    <w:rsid w:val="00167411"/>
    <w:pPr>
      <w:jc w:val="center"/>
    </w:pPr>
    <w:rPr>
      <w:rFonts w:eastAsia="Times New Roman"/>
    </w:rPr>
  </w:style>
  <w:style w:type="character" w:styleId="PlaceholderText">
    <w:name w:val="Placeholder Text"/>
    <w:basedOn w:val="DefaultParagraphFont"/>
    <w:uiPriority w:val="99"/>
    <w:semiHidden/>
    <w:rsid w:val="003640FE"/>
    <w:rPr>
      <w:color w:val="808080"/>
    </w:rPr>
  </w:style>
  <w:style w:type="character" w:customStyle="1" w:styleId="ListParagraphChar">
    <w:name w:val="List Paragraph Char"/>
    <w:link w:val="ListParagraph"/>
    <w:uiPriority w:val="34"/>
    <w:locked/>
    <w:rsid w:val="00B11AE5"/>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14926948">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30446961">
      <w:bodyDiv w:val="1"/>
      <w:marLeft w:val="0"/>
      <w:marRight w:val="0"/>
      <w:marTop w:val="0"/>
      <w:marBottom w:val="0"/>
      <w:divBdr>
        <w:top w:val="none" w:sz="0" w:space="0" w:color="auto"/>
        <w:left w:val="none" w:sz="0" w:space="0" w:color="auto"/>
        <w:bottom w:val="none" w:sz="0" w:space="0" w:color="auto"/>
        <w:right w:val="none" w:sz="0" w:space="0" w:color="auto"/>
      </w:divBdr>
    </w:div>
    <w:div w:id="1072922281">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1989281561">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header" Target="header1.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oleObject" Target="embeddings/oleObject68.bin"/><Relationship Id="rId16" Type="http://schemas.openxmlformats.org/officeDocument/2006/relationships/image" Target="media/image5.wmf"/><Relationship Id="rId107" Type="http://schemas.openxmlformats.org/officeDocument/2006/relationships/oleObject" Target="embeddings/oleObject65.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2.bin"/><Relationship Id="rId58" Type="http://schemas.openxmlformats.org/officeDocument/2006/relationships/image" Target="media/image27.wmf"/><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image" Target="media/image33.wmf"/><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46.bin"/><Relationship Id="rId90" Type="http://schemas.openxmlformats.org/officeDocument/2006/relationships/oleObject" Target="embeddings/oleObject54.bin"/><Relationship Id="rId95" Type="http://schemas.openxmlformats.org/officeDocument/2006/relationships/image" Target="media/image30.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41.bin"/><Relationship Id="rId100" Type="http://schemas.openxmlformats.org/officeDocument/2006/relationships/oleObject" Target="embeddings/oleObject61.bin"/><Relationship Id="rId105" Type="http://schemas.openxmlformats.org/officeDocument/2006/relationships/oleObject" Target="embeddings/oleObject64.bin"/><Relationship Id="rId113" Type="http://schemas.openxmlformats.org/officeDocument/2006/relationships/oleObject" Target="embeddings/oleObject69.bin"/><Relationship Id="rId118" Type="http://schemas.openxmlformats.org/officeDocument/2006/relationships/header" Target="header2.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93" Type="http://schemas.openxmlformats.org/officeDocument/2006/relationships/oleObject" Target="embeddings/oleObject57.bin"/><Relationship Id="rId98" Type="http://schemas.openxmlformats.org/officeDocument/2006/relationships/oleObject" Target="embeddings/oleObject60.bin"/><Relationship Id="rId12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oleObject" Target="embeddings/oleObject31.bin"/><Relationship Id="rId103" Type="http://schemas.openxmlformats.org/officeDocument/2006/relationships/oleObject" Target="embeddings/oleObject63.bin"/><Relationship Id="rId108" Type="http://schemas.openxmlformats.org/officeDocument/2006/relationships/image" Target="media/image36.wmf"/><Relationship Id="rId116" Type="http://schemas.openxmlformats.org/officeDocument/2006/relationships/oleObject" Target="embeddings/oleObject72.bin"/><Relationship Id="rId124"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oleObject" Target="embeddings/oleObject27.bin"/><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oleObject" Target="embeddings/oleObject52.bin"/><Relationship Id="rId91" Type="http://schemas.openxmlformats.org/officeDocument/2006/relationships/oleObject" Target="embeddings/oleObject55.bin"/><Relationship Id="rId96" Type="http://schemas.openxmlformats.org/officeDocument/2006/relationships/oleObject" Target="embeddings/oleObject59.bin"/><Relationship Id="rId111"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35.wmf"/><Relationship Id="rId114" Type="http://schemas.openxmlformats.org/officeDocument/2006/relationships/oleObject" Target="embeddings/oleObject70.bin"/><Relationship Id="rId119"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image" Target="media/image32.emf"/><Relationship Id="rId101" Type="http://schemas.openxmlformats.org/officeDocument/2006/relationships/oleObject" Target="embeddings/oleObject62.bin"/><Relationship Id="rId122"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66.bin"/><Relationship Id="rId34" Type="http://schemas.openxmlformats.org/officeDocument/2006/relationships/image" Target="media/image14.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oleObject" Target="embeddings/oleObject40.bin"/><Relationship Id="rId97" Type="http://schemas.openxmlformats.org/officeDocument/2006/relationships/image" Target="media/image31.wmf"/><Relationship Id="rId104" Type="http://schemas.openxmlformats.org/officeDocument/2006/relationships/image" Target="media/image34.wmf"/><Relationship Id="rId120"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oleObject" Target="embeddings/oleObject56.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51.bin"/><Relationship Id="rId110" Type="http://schemas.openxmlformats.org/officeDocument/2006/relationships/oleObject" Target="embeddings/oleObject67.bin"/><Relationship Id="rId115" Type="http://schemas.openxmlformats.org/officeDocument/2006/relationships/oleObject" Target="embeddings/oleObject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E5C29-9BE7-4D47-AA27-0586FD61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1822</Words>
  <Characters>10387</Characters>
  <Application>Microsoft Office Word</Application>
  <DocSecurity>0</DocSecurity>
  <Lines>86</Lines>
  <Paragraphs>24</Paragraphs>
  <ScaleCrop>false</ScaleCrop>
  <Company/>
  <LinksUpToDate>false</LinksUpToDate>
  <CharactersWithSpaces>12185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2016-10-01T06:23:00Z</dcterms:created>
  <dcterms:modified xsi:type="dcterms:W3CDTF">2016-10-01T06:23:00Z</dcterms:modified>
</cp:coreProperties>
</file>